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3204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kern w:val="0"/>
          <w:sz w:val="44"/>
          <w:szCs w:val="44"/>
          <w:lang w:val="en-US" w:eastAsia="zh-CN" w:bidi="ar"/>
        </w:rPr>
        <w:t>大通区医疗保障局召开2026年医保政策</w:t>
      </w:r>
    </w:p>
    <w:p w14:paraId="66256000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  <w:lang w:val="en-US" w:eastAsia="zh-CN" w:bidi="ar"/>
        </w:rPr>
        <w:t xml:space="preserve">培训会 </w:t>
      </w:r>
    </w:p>
    <w:bookmarkEnd w:id="0"/>
    <w:p w14:paraId="55A2CB2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为深入贯彻落实国家、省、市2026年医保最新政策要求，进一步规范辖区医药机构医保服务行为，切实提高全区医保经办人员、定点医药机构从业人员的政策理解和业务操作水平，守护医保基金安全、保障参保群众合法权益，5月8日，大通区医疗保障局组织召开医保政策专题培训会，辖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医保经办人员、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各医药机构负责人参加培训。</w:t>
      </w:r>
    </w:p>
    <w:p w14:paraId="58821FA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培训会上，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大通区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医保局围绕2026年医保新规核心内容，开展了系统性、针对性讲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解。重点解读了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门诊单次处方开药量、基本医保报销、医疗救助、医保基金监管等政策。观看国家局对医疗保障基金使用监督管理条例实施细则解读。</w:t>
      </w:r>
    </w:p>
    <w:p w14:paraId="2C37F28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987290" cy="3390265"/>
            <wp:effectExtent l="0" t="0" r="3810" b="635"/>
            <wp:docPr id="2" name="图片 2" descr="mmexport1778230056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778230056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CD0F9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下一步，大通区医疗保障局将以此次培训为抓手，持续深化医保政策宣传解读，常态化开展医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药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机构医保政策培训，健全长效监管机制，不断规范医保服务行为，强化医保基金风险防控，推动全区医保事业高质量发展，切实筑牢群众“看病钱”“救命钱”安全防线，提升参保群众就医获得感、幸福感和安全感。</w:t>
      </w:r>
    </w:p>
    <w:p w14:paraId="377B282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YWYyYjNlYzRmZGIyNzQ3NDcyYTNiNDBhN2NjMGIifQ=="/>
  </w:docVars>
  <w:rsids>
    <w:rsidRoot w:val="62BD09D8"/>
    <w:rsid w:val="62B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2026-05-13T08:55:00Z</dcterms:created>
  <dc:creator>绵蛮</dc:creator>
  <cp:lastModifiedBy>绵蛮</cp:lastModifiedBy>
  <dcterms:modified xsi:type="dcterms:W3CDTF">2026-05-13T09:18:48Z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BDA33306553D46E199E8A4AFACF81A52_11</vt:lpwstr>
  </property>
</Properties>
</file>