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60704">
      <w:pPr>
        <w:pStyle w:val="5"/>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4"/>
          <w:rFonts w:hint="default" w:ascii="Times New Roman" w:hAnsi="Times New Roman" w:eastAsia="方正小标宋_GBK" w:cs="Times New Roman"/>
          <w:b w:val="0"/>
          <w:kern w:val="2"/>
          <w:sz w:val="44"/>
          <w:szCs w:val="44"/>
          <w:shd w:val="clear" w:color="auto" w:fill="FFFFFF"/>
          <w:lang w:val="en-US" w:eastAsia="zh-CN" w:bidi="ar-SA"/>
        </w:rPr>
      </w:pPr>
      <w:bookmarkStart w:id="0" w:name="_GoBack"/>
      <w:r>
        <w:rPr>
          <w:rStyle w:val="4"/>
          <w:rFonts w:hint="default" w:ascii="Times New Roman" w:hAnsi="Times New Roman" w:eastAsia="方正小标宋_GBK" w:cs="Times New Roman"/>
          <w:b w:val="0"/>
          <w:kern w:val="2"/>
          <w:sz w:val="44"/>
          <w:szCs w:val="44"/>
          <w:shd w:val="clear" w:color="auto" w:fill="FFFFFF"/>
          <w:lang w:val="en-US" w:eastAsia="zh-CN" w:bidi="ar-SA"/>
        </w:rPr>
        <w:t>大通区网络餐饮食品安全整治专项行动方案</w:t>
      </w:r>
    </w:p>
    <w:p w14:paraId="6D8ADCF5">
      <w:pPr>
        <w:pStyle w:val="5"/>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楷体_GBK" w:cs="Times New Roman"/>
          <w:kern w:val="0"/>
          <w:sz w:val="32"/>
          <w:szCs w:val="32"/>
          <w:shd w:val="clear" w:color="auto" w:fill="FFFFFF"/>
          <w:lang w:val="en-US" w:eastAsia="zh-CN" w:bidi="ar-SA"/>
        </w:rPr>
      </w:pPr>
      <w:r>
        <w:rPr>
          <w:rFonts w:hint="eastAsia" w:ascii="Times New Roman" w:hAnsi="Times New Roman" w:eastAsia="方正楷体_GBK" w:cs="Times New Roman"/>
          <w:kern w:val="0"/>
          <w:sz w:val="32"/>
          <w:szCs w:val="32"/>
          <w:shd w:val="clear" w:color="auto" w:fill="FFFFFF"/>
          <w:lang w:val="en-US" w:eastAsia="zh-CN" w:bidi="ar-SA"/>
        </w:rPr>
        <w:t>（征求意见稿）</w:t>
      </w:r>
    </w:p>
    <w:bookmarkEnd w:id="0"/>
    <w:p w14:paraId="4C6D4DCA">
      <w:pPr>
        <w:spacing w:before="0" w:after="0" w:line="600" w:lineRule="exact"/>
        <w:ind w:firstLine="560" w:firstLineChars="200"/>
        <w:rPr>
          <w:rFonts w:hint="default" w:ascii="Times New Roman" w:hAnsi="Times New Roman" w:eastAsia="方正仿宋_GB2312" w:cs="Times New Roman"/>
          <w:sz w:val="28"/>
          <w:szCs w:val="28"/>
          <w:lang w:val="en-US" w:eastAsia="zh-CN" w:bidi="ar-SA"/>
        </w:rPr>
      </w:pPr>
    </w:p>
    <w:p w14:paraId="4239F202">
      <w:pPr>
        <w:widowControl w:val="0"/>
        <w:spacing w:before="0" w:after="0" w:line="570" w:lineRule="exact"/>
        <w:ind w:firstLine="640" w:firstLineChars="200"/>
        <w:jc w:val="both"/>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根据中央纪委国家监委、市场监管总局及省、市关于群众身边不正之风和腐败问题集中整治工作部署，为落实《网络餐饮服务经营者落实食品安全主体责任监督管理规定》要求，区局决定自2026年3月至12月，在全区范围内组织开展网络餐饮食品安全整治专项行动。制定本行动方案。</w:t>
      </w:r>
    </w:p>
    <w:p w14:paraId="072488B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一、重点整治任务</w:t>
      </w:r>
    </w:p>
    <w:p w14:paraId="2B424534">
      <w:pPr>
        <w:spacing w:line="570" w:lineRule="exact"/>
        <w:ind w:firstLine="544" w:firstLineChars="170"/>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（一）入网经营资质不合规问题。</w:t>
      </w:r>
      <w:r>
        <w:rPr>
          <w:rFonts w:hint="default" w:ascii="Times New Roman" w:hAnsi="Times New Roman" w:eastAsia="方正仿宋_GBK" w:cs="Times New Roman"/>
          <w:kern w:val="0"/>
          <w:sz w:val="32"/>
          <w:szCs w:val="32"/>
          <w:shd w:val="clear" w:color="auto" w:fill="FFFFFF"/>
          <w:lang w:val="en-US" w:eastAsia="zh-CN" w:bidi="ar-SA"/>
        </w:rPr>
        <w:t>重点整治“幽灵外卖”现象，严查入网餐饮服务提供者租借、伪造《食品经营许可证》或《小餐饮信息公示卡》入网经营行为；严查证照登记地址与实际经营地址不符、虚假上传或伪造门店实景照片等违规行为。</w:t>
      </w:r>
    </w:p>
    <w:p w14:paraId="2149550F">
      <w:pPr>
        <w:spacing w:line="570" w:lineRule="exact"/>
        <w:ind w:firstLine="544" w:firstLineChars="170"/>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（二）食品安全现场管理不达标问题。</w:t>
      </w:r>
      <w:r>
        <w:rPr>
          <w:rFonts w:hint="default" w:ascii="Times New Roman" w:hAnsi="Times New Roman" w:eastAsia="方正仿宋_GBK" w:cs="Times New Roman"/>
          <w:kern w:val="0"/>
          <w:sz w:val="32"/>
          <w:szCs w:val="32"/>
          <w:shd w:val="clear" w:color="auto" w:fill="FFFFFF"/>
          <w:lang w:val="en-US" w:eastAsia="zh-CN" w:bidi="ar-SA"/>
        </w:rPr>
        <w:t>重点整治入网餐饮服务提供者经营场所环境卫生“脏乱差”、食品加工制作操作流程不规范、原材料采购验收与贮存管理混乱、使用过期或腐败变质食品原料、“三防”（防蝇、防尘、防鼠）设施不完善、超范围或超限量使用食品添加剂、从业人员健康证明不全或过期失效等问题。</w:t>
      </w:r>
    </w:p>
    <w:p w14:paraId="1A4B5D00">
      <w:pPr>
        <w:spacing w:line="570" w:lineRule="exact"/>
        <w:ind w:firstLine="544" w:firstLineChars="170"/>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（三）包装材料安全隐患问题。</w:t>
      </w:r>
      <w:r>
        <w:rPr>
          <w:rFonts w:hint="default" w:ascii="Times New Roman" w:hAnsi="Times New Roman" w:eastAsia="方正仿宋_GBK" w:cs="Times New Roman"/>
          <w:kern w:val="0"/>
          <w:sz w:val="32"/>
          <w:szCs w:val="32"/>
          <w:shd w:val="clear" w:color="auto" w:fill="FFFFFF"/>
          <w:lang w:val="en-US" w:eastAsia="zh-CN" w:bidi="ar-SA"/>
        </w:rPr>
        <w:t>重点整治使用不符合食品安全国家标准的餐盒、餐具、包装袋等食品相关产品；未严格落实食品相关产品索证索票及进货查验记录制度，无法实现源头追溯；未规范使用“食安封签”对外卖餐品进行有效包装封口等问题。</w:t>
      </w:r>
    </w:p>
    <w:p w14:paraId="611FD4C8">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二、主要工作措施</w:t>
      </w:r>
    </w:p>
    <w:p w14:paraId="582B312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坚持问题导向、目标导向与结果导向相结合，强化线上线下监管协同、监管与服务并举、惩戒与引导并重，实施以下十二项重点工作措施，全面提升网络餐饮食品安全监管水平。</w:t>
      </w:r>
    </w:p>
    <w:p w14:paraId="7CD2D1F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（一）强化线上线下双向闭环治理</w:t>
      </w:r>
    </w:p>
    <w:p w14:paraId="4B10B701">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深化线下精准排查处置。对市局推送及线上监测发现的证照不符、地址不一等可疑线索，建立快速响应机制，逐一开展现场核查，依法依规处置并反馈结果，形成线上线下联动的监管闭环。（牵头股所：食药股，配合股所：经检股、各市场监管所）</w:t>
      </w:r>
    </w:p>
    <w:p w14:paraId="2E4AF1A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（二）全力推进“互联网+AI+明厨亮灶”建设及信用监管应用</w:t>
      </w:r>
    </w:p>
    <w:p w14:paraId="35068FF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1.推进视频监控接入与AI赋能。 鼓励入网餐饮服务提供者实施“互联网+明厨亮灶”，将后厨加工操作视频信号接入省局“互联网+AI监管”平台。强化AI智能巡查、抓拍、预警等智慧监管效能，督促平台经营者履行入网审查主体责任，积极推进高风险商户的视频接入工作。（牵头股所：食药股，配合股所：各市场监管所）</w:t>
      </w:r>
    </w:p>
    <w:p w14:paraId="628D092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方正仿宋_GBK" w:cs="Times New Roman"/>
          <w:kern w:val="0"/>
          <w:sz w:val="32"/>
          <w:szCs w:val="32"/>
          <w:shd w:val="clear" w:color="auto" w:fill="FFFFFF"/>
          <w:lang w:val="en-US" w:eastAsia="zh-CN" w:bidi="ar-SA"/>
        </w:rPr>
        <w:t>2.强化信用风险分类监管。将AI智慧监管分析结果、日常监督检查记录、抽检监测数据、投诉举报及行政处罚等信息纳入餐饮经营主体信用风险分类指标体系。依据分类结果，在监督检查频次、抽检覆盖率等方面实施差异化监管措施，提高监管的精准性和有效性。（牵头股所：食药股，配合股所：经检股、综合执法办、登记注册股）</w:t>
      </w:r>
    </w:p>
    <w:p w14:paraId="2076921D">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（三）强化包装材料等安全隐患整治</w:t>
      </w:r>
    </w:p>
    <w:p w14:paraId="3692001D">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1.严控食品相关产品准入与溯源。督促入网商户严格执行餐饮具、包装材料等食品相关产品的采购查验和索证索票制度，确保产品来源合法、质量合格、标识规范。（牵头股所：食药股，配合股所：经检股、各市场监管所）</w:t>
      </w:r>
    </w:p>
    <w:p w14:paraId="437AB903">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方正仿宋_GBK" w:cs="Times New Roman"/>
          <w:kern w:val="0"/>
          <w:sz w:val="32"/>
          <w:szCs w:val="32"/>
          <w:shd w:val="clear" w:color="auto" w:fill="FFFFFF"/>
          <w:lang w:val="en-US" w:eastAsia="zh-CN" w:bidi="ar-SA"/>
        </w:rPr>
        <w:t>2.规范外卖餐品包装封签管理。要求入网商户对外卖餐品进行规范包装并有效封口，防止配送过程二次污染或人为破坏。（牵头股所：食药股，配合股所：经检股、各市场监管所）</w:t>
      </w:r>
    </w:p>
    <w:p w14:paraId="00F07723">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（四）强化食品安全不达标问题靶向治理</w:t>
      </w:r>
    </w:p>
    <w:p w14:paraId="0652A5E9">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1.实施靶向性飞行检查。聚焦入网商户平台公示信息的“三一致”（资质信息、门店招牌、实际经营地址一致）和“两标识”（无堂食外卖标识、明厨亮灶标识）落实情况，重点排查加工制作不规范、制售假冒伪劣肉制品、诱导过量点餐等突出问题。对连续多批次抽查不合格、涉及“幽灵外卖”及无堂食外卖的商户实施重点监管，实现风险隐患早发现、早预警、早处置。（牵头股所：食药股，配合股所：各市场监管所）</w:t>
      </w:r>
    </w:p>
    <w:p w14:paraId="358944C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深化“监检结合”与风险排查。以网络订餐“网红店”、销量排名靠前的商户为重点对象，聚焦煎炸过程用油、烤肉涮肉原料、一次性餐饮具等重点品种，加大抽检监测力度。创新采取“你点我检”公众互动抽检、“神秘买家”随机下单抽检等方式，提升问题发现率。对抽检不合格的食品及食品相关产品，依法依规及时开展核查处置，严格执行复检异议处理及产品控制要求，形成监管闭环。（牵头股所：食药股，配合股所：各市场监管所）</w:t>
      </w:r>
    </w:p>
    <w:p w14:paraId="10709159">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3.严厉惩治违法违规行为。对线上监测、线下检查、抽检监测及投诉举报等渠道获取的违法违规线索，建立清单台账，逐一核查销号。对符合立案标准的坚决立案查处；涉嫌犯罪的，及时移送公安机关追究刑事责任；在案件查办中发现从业人员健康证明造假、伪造资质文件等线索的，及时通报卫生健康、公安等相关部门。定期向社会公布典型案件，强化警示震慑效应。（牵头股所：经检股）</w:t>
      </w:r>
    </w:p>
    <w:p w14:paraId="04310E7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（五）强化社会多元共治格局构建</w:t>
      </w:r>
    </w:p>
    <w:p w14:paraId="72FCBD69">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1.积极开展外卖骑手聘为食品安全义务监督员的试点工作，拓宽问题发现渠道。（牵头股所：食药股，配合股所：综合执法办、注册股）</w:t>
      </w:r>
    </w:p>
    <w:p w14:paraId="69022B8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拓宽公众投诉举报与互动渠道。畅通12315投诉举报热线响应机制，确保群众诉求“件件有落实、事事有回音”。深入开展“你点我查”、“随机查餐厅”等互动式监管活动。（牵头股所：综合执法办，配合股所：食药股）</w:t>
      </w:r>
    </w:p>
    <w:p w14:paraId="626F0072">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3.加大宣传引导与法规宣贯力度。利用政府网站，广泛宣传网络餐饮食品安全法律法规与消费常识。重点宣贯《网络餐饮服务经营者落实食品安全主体责任监督管理规定》，在重要节假日等节点发布消费警示与提示。积极展示工作成效，营造良好社会共治氛围。（牵头股所：办公室，配合股所：食药股）</w:t>
      </w:r>
    </w:p>
    <w:p w14:paraId="764742C3">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（六）强化风腐问题协同整治</w:t>
      </w:r>
    </w:p>
    <w:p w14:paraId="4820D358">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1.强化局组联动。在加强业务监管、抓实督导抽查的同时，自觉接受驻局纪检监察组对责任落实情况的监督检查，按照要求适时开展联合督导抽查，对发现的突出问题进行“回头看”，推动问题整改和责任追究到位。（牵头股所：食药股）</w:t>
      </w:r>
    </w:p>
    <w:p w14:paraId="5585FE05">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落实“一案双查”。坚持严的基调，在严厉查处打击网络餐饮食品安全违法违规行为的同时，对发现市场监管党员干部以及监察对象涉嫌违纪或职务违法的问题线索，按照管理权限及时移交纪检监察机关处理，推动网络餐饮食品安全问题与职能部门监管缺位以及背后风腐问题同查同治。（牵头股所：食药股）</w:t>
      </w:r>
    </w:p>
    <w:p w14:paraId="352BA235">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三、实施整治阶段</w:t>
      </w:r>
    </w:p>
    <w:p w14:paraId="290A1F17">
      <w:pPr>
        <w:spacing w:line="570" w:lineRule="exact"/>
        <w:ind w:firstLine="544" w:firstLineChars="170"/>
        <w:rPr>
          <w:rFonts w:hint="default" w:ascii="Times New Roman" w:hAnsi="Times New Roman" w:eastAsia="仿宋_GB2312" w:cs="Times New Roman"/>
          <w:sz w:val="32"/>
          <w:szCs w:val="32"/>
        </w:rPr>
      </w:pPr>
      <w:r>
        <w:rPr>
          <w:rFonts w:hint="default" w:ascii="Times New Roman" w:hAnsi="Times New Roman" w:eastAsia="方正楷体_GBK" w:cs="Times New Roman"/>
          <w:kern w:val="0"/>
          <w:sz w:val="32"/>
          <w:szCs w:val="32"/>
          <w:shd w:val="clear" w:color="auto" w:fill="FFFFFF"/>
          <w:lang w:val="en-US" w:eastAsia="zh-CN" w:bidi="ar-SA"/>
        </w:rPr>
        <w:t>（一）部署准备阶段（4月10日前）。</w:t>
      </w:r>
      <w:r>
        <w:rPr>
          <w:rFonts w:hint="default" w:ascii="Times New Roman" w:hAnsi="Times New Roman" w:eastAsia="方正仿宋_GBK" w:cs="Times New Roman"/>
          <w:kern w:val="0"/>
          <w:sz w:val="32"/>
          <w:szCs w:val="32"/>
          <w:shd w:val="clear" w:color="auto" w:fill="FFFFFF"/>
          <w:lang w:val="en-US" w:eastAsia="zh-CN" w:bidi="ar-SA"/>
        </w:rPr>
        <w:t>结合本地实际，细化工作举措、明确目标任务、层层压实责任、积极部署推进。</w:t>
      </w:r>
    </w:p>
    <w:p w14:paraId="4CFC7E84">
      <w:pPr>
        <w:spacing w:line="570" w:lineRule="exact"/>
        <w:ind w:firstLine="544" w:firstLineChars="170"/>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（二）集中整治阶段（4月11日至10月）。</w:t>
      </w:r>
      <w:r>
        <w:rPr>
          <w:rFonts w:hint="default" w:ascii="Times New Roman" w:hAnsi="Times New Roman" w:eastAsia="方正仿宋_GBK" w:cs="Times New Roman"/>
          <w:kern w:val="0"/>
          <w:sz w:val="32"/>
          <w:szCs w:val="32"/>
          <w:shd w:val="clear" w:color="auto" w:fill="FFFFFF"/>
          <w:lang w:val="en-US" w:eastAsia="zh-CN" w:bidi="ar-SA"/>
        </w:rPr>
        <w:t>全面推进各项治理措施，一体推进线上监测和线下检查。建立健全并动态更新“三本账”（基础信息台账、问题排查台账、整改落实台账），做到底数清、情况明。集中力量清理一批违规店铺、规范一批问题店铺、查办一批重点案件、曝光一批典型案例，有效纠治突出问题，推动网络餐饮食品安全水平全面提升。</w:t>
      </w:r>
    </w:p>
    <w:p w14:paraId="42B1AE48">
      <w:pPr>
        <w:spacing w:line="570" w:lineRule="exact"/>
        <w:ind w:firstLine="544" w:firstLineChars="170"/>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（三）总结提升阶段（11月至12月）。</w:t>
      </w:r>
      <w:r>
        <w:rPr>
          <w:rFonts w:hint="default" w:ascii="Times New Roman" w:hAnsi="Times New Roman" w:eastAsia="方正仿宋_GBK" w:cs="Times New Roman"/>
          <w:kern w:val="0"/>
          <w:sz w:val="32"/>
          <w:szCs w:val="32"/>
          <w:shd w:val="clear" w:color="auto" w:fill="FFFFFF"/>
          <w:lang w:val="en-US" w:eastAsia="zh-CN" w:bidi="ar-SA"/>
        </w:rPr>
        <w:t>系统梳理专项行动工作成效，查摆存在问题，制定改进措施，形成长效机制。认真梳理有效做法和典型案例，形成工作总结。及时将经验固化为制度成果。</w:t>
      </w:r>
    </w:p>
    <w:p w14:paraId="260396B6">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四、加强组织保障</w:t>
      </w:r>
    </w:p>
    <w:p w14:paraId="48A77CEA">
      <w:pPr>
        <w:widowControl w:val="0"/>
        <w:spacing w:after="0" w:line="570" w:lineRule="exact"/>
        <w:ind w:left="0" w:leftChars="0" w:firstLine="640" w:firstLineChars="200"/>
        <w:jc w:val="both"/>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加强组织领导和统筹调度，确保专项行动取得实效。要注重强化行纪贯通和行刑衔接，提升执法效能，采取“四不两直”方式不定期开展明查暗访。区局将对工作推进不力、问题排查整治不到位、监管责任不落实的地方，运用“三书一函”督促加大整改力度。省、市局对发生食品安全事故或重大网络舆情的，依法依纪公开约谈、挂牌督办并追究责任。遇重大事项应及时报告食药股。</w:t>
      </w:r>
    </w:p>
    <w:p w14:paraId="0A9CBF60">
      <w:pPr>
        <w:spacing w:line="57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联系人：次仁德吉，联系电话：0554-2512267</w:t>
      </w:r>
    </w:p>
    <w:p w14:paraId="7558E0F8">
      <w:pPr>
        <w:widowControl w:val="0"/>
        <w:spacing w:line="570" w:lineRule="exact"/>
        <w:ind w:firstLine="640" w:firstLineChars="200"/>
        <w:jc w:val="both"/>
        <w:rPr>
          <w:rFonts w:hint="default" w:ascii="Times New Roman" w:hAnsi="Times New Roman" w:eastAsia="方正仿宋_GBK" w:cs="Times New Roman"/>
          <w:kern w:val="0"/>
          <w:sz w:val="32"/>
          <w:szCs w:val="32"/>
          <w:shd w:val="clear" w:color="auto" w:fill="FFFFFF"/>
          <w:lang w:val="en-US" w:eastAsia="zh-CN" w:bidi="ar-SA"/>
        </w:rPr>
      </w:pPr>
    </w:p>
    <w:p w14:paraId="3C58057E">
      <w:pPr>
        <w:widowControl w:val="0"/>
        <w:spacing w:line="570" w:lineRule="exact"/>
        <w:ind w:firstLine="640" w:firstLineChars="200"/>
        <w:jc w:val="both"/>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附件：全区网络餐饮食品安全整治专项行动工作领导小组名</w:t>
      </w:r>
    </w:p>
    <w:p w14:paraId="5C7C9EE3">
      <w:pPr>
        <w:widowControl w:val="0"/>
        <w:spacing w:line="570" w:lineRule="exact"/>
        <w:ind w:firstLine="1504" w:firstLineChars="470"/>
        <w:jc w:val="both"/>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单</w:t>
      </w:r>
    </w:p>
    <w:p w14:paraId="7DEBF81B">
      <w:pPr>
        <w:widowControl w:val="0"/>
        <w:ind w:firstLine="720"/>
        <w:jc w:val="both"/>
        <w:rPr>
          <w:rFonts w:hint="default" w:ascii="Times New Roman" w:hAnsi="Times New Roman" w:eastAsia="宋体" w:cs="Times New Roman"/>
          <w:kern w:val="2"/>
          <w:sz w:val="32"/>
          <w:szCs w:val="32"/>
          <w:lang w:val="en-US" w:eastAsia="zh-CN" w:bidi="ar-SA"/>
        </w:rPr>
      </w:pPr>
    </w:p>
    <w:p w14:paraId="28437A66">
      <w:pPr>
        <w:rPr>
          <w:rFonts w:hint="default" w:ascii="Times New Roman" w:hAnsi="Times New Roman" w:eastAsia="仿宋_GB2312" w:cs="Times New Roman"/>
          <w:sz w:val="32"/>
          <w:szCs w:val="32"/>
        </w:rPr>
      </w:pPr>
    </w:p>
    <w:p w14:paraId="12331FCC">
      <w:pPr>
        <w:rPr>
          <w:rFonts w:hint="default" w:ascii="Times New Roman" w:hAnsi="Times New Roman" w:eastAsia="仿宋_GB2312" w:cs="Times New Roman"/>
          <w:sz w:val="32"/>
          <w:szCs w:val="32"/>
        </w:rPr>
      </w:pPr>
    </w:p>
    <w:p w14:paraId="4FDFACC6">
      <w:pPr>
        <w:rPr>
          <w:rFonts w:hint="default" w:ascii="Times New Roman" w:hAnsi="Times New Roman" w:eastAsia="仿宋_GB2312" w:cs="Times New Roman"/>
          <w:sz w:val="32"/>
          <w:szCs w:val="32"/>
        </w:rPr>
      </w:pPr>
    </w:p>
    <w:p w14:paraId="593C11AF">
      <w:pPr>
        <w:rPr>
          <w:rFonts w:hint="default" w:ascii="Times New Roman" w:hAnsi="Times New Roman" w:eastAsia="仿宋_GB2312" w:cs="Times New Roman"/>
          <w:sz w:val="32"/>
          <w:szCs w:val="32"/>
        </w:rPr>
      </w:pPr>
    </w:p>
    <w:p w14:paraId="50DDC2A4">
      <w:pPr>
        <w:rPr>
          <w:rFonts w:hint="default" w:ascii="Times New Roman" w:hAnsi="Times New Roman" w:eastAsia="仿宋_GB2312" w:cs="Times New Roman"/>
          <w:sz w:val="32"/>
          <w:szCs w:val="32"/>
        </w:rPr>
      </w:pPr>
    </w:p>
    <w:p w14:paraId="3B81489D">
      <w:pPr>
        <w:widowControl w:val="0"/>
        <w:ind w:firstLine="640" w:firstLineChars="200"/>
        <w:jc w:val="both"/>
        <w:rPr>
          <w:rFonts w:hint="default" w:ascii="Times New Roman" w:hAnsi="Times New Roman" w:eastAsia="仿宋_GB2312" w:cs="Times New Roman"/>
          <w:kern w:val="2"/>
          <w:sz w:val="32"/>
          <w:szCs w:val="24"/>
          <w:lang w:val="en-US" w:eastAsia="zh-CN" w:bidi="ar-SA"/>
        </w:rPr>
      </w:pPr>
    </w:p>
    <w:p w14:paraId="76A7FB0B">
      <w:pPr>
        <w:widowControl w:val="0"/>
        <w:jc w:val="both"/>
        <w:rPr>
          <w:rFonts w:hint="default" w:ascii="Times New Roman" w:hAnsi="Times New Roman" w:eastAsia="仿宋_GB2312" w:cs="Times New Roman"/>
          <w:kern w:val="2"/>
          <w:sz w:val="32"/>
          <w:szCs w:val="32"/>
          <w:lang w:val="en-US" w:eastAsia="zh-CN" w:bidi="ar-SA"/>
        </w:rPr>
      </w:pPr>
    </w:p>
    <w:p w14:paraId="1FF6C558">
      <w:pPr>
        <w:widowControl w:val="0"/>
        <w:ind w:firstLine="720"/>
        <w:jc w:val="both"/>
        <w:rPr>
          <w:rFonts w:hint="default" w:ascii="Times New Roman" w:hAnsi="Times New Roman" w:eastAsia="宋体" w:cs="Times New Roman"/>
          <w:kern w:val="2"/>
          <w:sz w:val="32"/>
          <w:szCs w:val="32"/>
          <w:lang w:val="en-US" w:eastAsia="zh-CN" w:bidi="ar-SA"/>
        </w:rPr>
      </w:pPr>
    </w:p>
    <w:p w14:paraId="193F9E31">
      <w:pPr>
        <w:rPr>
          <w:rFonts w:hint="default" w:ascii="Times New Roman" w:hAnsi="Times New Roman" w:eastAsia="仿宋_GB2312" w:cs="Times New Roman"/>
          <w:sz w:val="30"/>
          <w:szCs w:val="30"/>
        </w:rPr>
      </w:pPr>
    </w:p>
    <w:p w14:paraId="6C9451C3">
      <w:pPr>
        <w:widowControl w:val="0"/>
        <w:ind w:firstLine="640" w:firstLineChars="200"/>
        <w:jc w:val="both"/>
        <w:rPr>
          <w:rFonts w:hint="default" w:ascii="Times New Roman" w:hAnsi="Times New Roman" w:eastAsia="仿宋_GB2312" w:cs="Times New Roman"/>
          <w:kern w:val="2"/>
          <w:sz w:val="32"/>
          <w:szCs w:val="24"/>
          <w:lang w:val="en-US" w:eastAsia="zh-CN" w:bidi="ar-SA"/>
        </w:rPr>
      </w:pPr>
    </w:p>
    <w:p w14:paraId="74889E41">
      <w:pPr>
        <w:widowControl w:val="0"/>
        <w:jc w:val="both"/>
        <w:rPr>
          <w:rFonts w:hint="default" w:ascii="Times New Roman" w:hAnsi="Times New Roman" w:eastAsia="仿宋_GB2312" w:cs="Times New Roman"/>
          <w:kern w:val="2"/>
          <w:sz w:val="32"/>
          <w:szCs w:val="32"/>
          <w:lang w:val="en-US" w:eastAsia="zh-CN" w:bidi="ar-SA"/>
        </w:rPr>
      </w:pPr>
    </w:p>
    <w:p w14:paraId="25AD0328">
      <w:pPr>
        <w:widowControl w:val="0"/>
        <w:ind w:firstLine="720"/>
        <w:jc w:val="both"/>
        <w:rPr>
          <w:rFonts w:hint="default" w:ascii="Times New Roman" w:hAnsi="Times New Roman" w:eastAsia="宋体" w:cs="Times New Roman"/>
          <w:kern w:val="2"/>
          <w:sz w:val="32"/>
          <w:szCs w:val="32"/>
          <w:lang w:val="en-US" w:eastAsia="zh-CN" w:bidi="ar-SA"/>
        </w:rPr>
      </w:pPr>
    </w:p>
    <w:p w14:paraId="19D67A68">
      <w:pPr>
        <w:rPr>
          <w:rFonts w:hint="default" w:ascii="Times New Roman" w:hAnsi="Times New Roman" w:eastAsia="仿宋_GB2312" w:cs="Times New Roman"/>
          <w:sz w:val="30"/>
          <w:szCs w:val="30"/>
        </w:rPr>
      </w:pPr>
    </w:p>
    <w:p w14:paraId="2482AC50">
      <w:pPr>
        <w:widowControl w:val="0"/>
        <w:ind w:firstLine="640" w:firstLineChars="200"/>
        <w:jc w:val="both"/>
        <w:rPr>
          <w:rFonts w:hint="default" w:ascii="Times New Roman" w:hAnsi="Times New Roman" w:eastAsia="仿宋_GB2312" w:cs="Times New Roman"/>
          <w:kern w:val="2"/>
          <w:sz w:val="32"/>
          <w:szCs w:val="24"/>
          <w:lang w:val="en-US" w:eastAsia="zh-CN" w:bidi="ar-SA"/>
        </w:rPr>
      </w:pPr>
    </w:p>
    <w:p w14:paraId="608D3A87">
      <w:pPr>
        <w:widowControl w:val="0"/>
        <w:jc w:val="both"/>
        <w:rPr>
          <w:rFonts w:hint="default" w:ascii="Times New Roman" w:hAnsi="Times New Roman" w:eastAsia="仿宋_GB2312" w:cs="Times New Roman"/>
          <w:kern w:val="2"/>
          <w:sz w:val="32"/>
          <w:szCs w:val="32"/>
          <w:lang w:val="en-US" w:eastAsia="zh-CN" w:bidi="ar-SA"/>
        </w:rPr>
      </w:pPr>
    </w:p>
    <w:p w14:paraId="3C039AD4">
      <w:pPr>
        <w:widowControl w:val="0"/>
        <w:ind w:firstLine="720"/>
        <w:jc w:val="both"/>
        <w:rPr>
          <w:rFonts w:hint="default" w:ascii="Times New Roman" w:hAnsi="Times New Roman" w:eastAsia="宋体" w:cs="Times New Roman"/>
          <w:kern w:val="2"/>
          <w:sz w:val="32"/>
          <w:szCs w:val="32"/>
          <w:lang w:val="en-US" w:eastAsia="zh-CN" w:bidi="ar-SA"/>
        </w:rPr>
      </w:pPr>
    </w:p>
    <w:p w14:paraId="57377296">
      <w:pPr>
        <w:rPr>
          <w:rFonts w:hint="default" w:ascii="Times New Roman" w:hAnsi="Times New Roman" w:eastAsia="仿宋_GB2312" w:cs="Times New Roman"/>
          <w:sz w:val="30"/>
          <w:szCs w:val="30"/>
        </w:rPr>
      </w:pPr>
    </w:p>
    <w:p w14:paraId="7DB168A4">
      <w:pPr>
        <w:widowControl w:val="0"/>
        <w:ind w:firstLine="640" w:firstLineChars="200"/>
        <w:jc w:val="both"/>
        <w:rPr>
          <w:rFonts w:hint="default" w:ascii="Times New Roman" w:hAnsi="Times New Roman" w:eastAsia="仿宋_GB2312" w:cs="Times New Roman"/>
          <w:kern w:val="2"/>
          <w:sz w:val="32"/>
          <w:szCs w:val="24"/>
          <w:lang w:val="en-US" w:eastAsia="zh-CN" w:bidi="ar-SA"/>
        </w:rPr>
      </w:pPr>
    </w:p>
    <w:p w14:paraId="13CDB454">
      <w:pPr>
        <w:widowControl w:val="0"/>
        <w:jc w:val="both"/>
        <w:rPr>
          <w:rFonts w:hint="default" w:ascii="Times New Roman" w:hAnsi="Times New Roman" w:eastAsia="仿宋_GB2312" w:cs="Times New Roman"/>
          <w:kern w:val="2"/>
          <w:sz w:val="32"/>
          <w:szCs w:val="32"/>
          <w:lang w:val="en-US" w:eastAsia="zh-CN" w:bidi="ar-SA"/>
        </w:rPr>
      </w:pPr>
    </w:p>
    <w:p w14:paraId="6A2B22B7">
      <w:pPr>
        <w:widowControl w:val="0"/>
        <w:ind w:firstLine="720"/>
        <w:jc w:val="both"/>
        <w:rPr>
          <w:rFonts w:hint="default" w:ascii="Times New Roman" w:hAnsi="Times New Roman" w:eastAsia="宋体" w:cs="Times New Roman"/>
          <w:kern w:val="2"/>
          <w:sz w:val="32"/>
          <w:szCs w:val="32"/>
          <w:lang w:val="en-US" w:eastAsia="zh-CN" w:bidi="ar-SA"/>
        </w:rPr>
      </w:pPr>
    </w:p>
    <w:p w14:paraId="22F91A53">
      <w:pPr>
        <w:widowControl w:val="0"/>
        <w:ind w:firstLine="720"/>
        <w:jc w:val="both"/>
        <w:rPr>
          <w:rFonts w:hint="default" w:ascii="Times New Roman" w:hAnsi="Times New Roman" w:eastAsia="宋体" w:cs="Times New Roman"/>
          <w:kern w:val="2"/>
          <w:sz w:val="32"/>
          <w:szCs w:val="32"/>
          <w:lang w:val="en-US" w:eastAsia="zh-CN" w:bidi="ar-SA"/>
        </w:rPr>
      </w:pPr>
    </w:p>
    <w:p w14:paraId="00E7899D">
      <w:pPr>
        <w:widowControl w:val="0"/>
        <w:ind w:firstLine="720"/>
        <w:jc w:val="both"/>
        <w:rPr>
          <w:rFonts w:hint="default" w:ascii="Times New Roman" w:hAnsi="Times New Roman" w:eastAsia="宋体" w:cs="Times New Roman"/>
          <w:kern w:val="2"/>
          <w:sz w:val="32"/>
          <w:szCs w:val="32"/>
          <w:lang w:val="en-US" w:eastAsia="zh-CN" w:bidi="ar-SA"/>
        </w:rPr>
      </w:pPr>
    </w:p>
    <w:p w14:paraId="0FF72FE6">
      <w:pPr>
        <w:widowControl w:val="0"/>
        <w:ind w:firstLine="720"/>
        <w:jc w:val="both"/>
        <w:rPr>
          <w:rFonts w:hint="default" w:ascii="Times New Roman" w:hAnsi="Times New Roman" w:eastAsia="宋体" w:cs="Times New Roman"/>
          <w:kern w:val="2"/>
          <w:sz w:val="32"/>
          <w:szCs w:val="32"/>
          <w:lang w:val="en-US" w:eastAsia="zh-CN" w:bidi="ar-SA"/>
        </w:rPr>
      </w:pPr>
    </w:p>
    <w:p w14:paraId="23DB33E1">
      <w:pPr>
        <w:rPr>
          <w:rFonts w:hint="default" w:ascii="Times New Roman" w:hAnsi="Times New Roman" w:eastAsia="仿宋_GB2312" w:cs="Times New Roman"/>
          <w:sz w:val="30"/>
          <w:szCs w:val="30"/>
        </w:rPr>
      </w:pPr>
    </w:p>
    <w:p w14:paraId="53012B0C">
      <w:pPr>
        <w:widowControl w:val="0"/>
        <w:ind w:firstLine="640" w:firstLineChars="200"/>
        <w:jc w:val="both"/>
        <w:rPr>
          <w:rFonts w:hint="default" w:ascii="Times New Roman" w:hAnsi="Times New Roman" w:eastAsia="仿宋_GB2312" w:cs="Times New Roman"/>
          <w:kern w:val="2"/>
          <w:sz w:val="32"/>
          <w:szCs w:val="24"/>
          <w:lang w:val="en-US" w:eastAsia="zh-CN" w:bidi="ar-SA"/>
        </w:rPr>
      </w:pPr>
    </w:p>
    <w:p w14:paraId="1AF876ED">
      <w:pPr>
        <w:spacing w:line="6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p>
    <w:p w14:paraId="2A0CA595">
      <w:pPr>
        <w:adjustRightInd w:val="0"/>
        <w:snapToGrid w:val="0"/>
        <w:jc w:val="center"/>
        <w:rPr>
          <w:rStyle w:val="4"/>
          <w:rFonts w:hint="default" w:ascii="Times New Roman" w:hAnsi="Times New Roman" w:eastAsia="方正小标宋_GBK" w:cs="Times New Roman"/>
          <w:b w:val="0"/>
          <w:kern w:val="2"/>
          <w:sz w:val="44"/>
          <w:szCs w:val="44"/>
          <w:shd w:val="clear" w:color="auto" w:fill="FFFFFF"/>
          <w:lang w:val="en-US" w:eastAsia="zh-CN" w:bidi="ar-SA"/>
        </w:rPr>
      </w:pPr>
      <w:r>
        <w:rPr>
          <w:rStyle w:val="4"/>
          <w:rFonts w:hint="default" w:ascii="Times New Roman" w:hAnsi="Times New Roman" w:eastAsia="方正小标宋_GBK" w:cs="Times New Roman"/>
          <w:b w:val="0"/>
          <w:kern w:val="2"/>
          <w:sz w:val="44"/>
          <w:szCs w:val="44"/>
          <w:shd w:val="clear" w:color="auto" w:fill="FFFFFF"/>
          <w:lang w:val="en-US" w:eastAsia="zh-CN" w:bidi="ar-SA"/>
        </w:rPr>
        <w:t>全区网络餐饮食品安全整治专项行动</w:t>
      </w:r>
    </w:p>
    <w:p w14:paraId="413D743D">
      <w:pPr>
        <w:adjustRightInd w:val="0"/>
        <w:snapToGrid w:val="0"/>
        <w:jc w:val="center"/>
        <w:rPr>
          <w:rStyle w:val="4"/>
          <w:rFonts w:hint="default" w:ascii="Times New Roman" w:hAnsi="Times New Roman" w:eastAsia="方正小标宋_GBK" w:cs="Times New Roman"/>
          <w:b w:val="0"/>
          <w:kern w:val="2"/>
          <w:sz w:val="44"/>
          <w:szCs w:val="44"/>
          <w:shd w:val="clear" w:color="auto" w:fill="FFFFFF"/>
          <w:lang w:val="en-US" w:eastAsia="zh-CN" w:bidi="ar-SA"/>
        </w:rPr>
      </w:pPr>
      <w:r>
        <w:rPr>
          <w:rStyle w:val="4"/>
          <w:rFonts w:hint="default" w:ascii="Times New Roman" w:hAnsi="Times New Roman" w:eastAsia="方正小标宋_GBK" w:cs="Times New Roman"/>
          <w:b w:val="0"/>
          <w:kern w:val="2"/>
          <w:sz w:val="44"/>
          <w:szCs w:val="44"/>
          <w:shd w:val="clear" w:color="auto" w:fill="FFFFFF"/>
          <w:lang w:val="en-US" w:eastAsia="zh-CN" w:bidi="ar-SA"/>
        </w:rPr>
        <w:t>工作领导小组名单</w:t>
      </w:r>
    </w:p>
    <w:p w14:paraId="20899368">
      <w:pPr>
        <w:spacing w:line="240" w:lineRule="exact"/>
        <w:ind w:firstLine="640" w:firstLineChars="200"/>
        <w:rPr>
          <w:rFonts w:hint="default" w:ascii="Times New Roman" w:hAnsi="Times New Roman" w:eastAsia="仿宋_GB2312" w:cs="Times New Roman"/>
          <w:sz w:val="32"/>
          <w:szCs w:val="32"/>
        </w:rPr>
      </w:pPr>
    </w:p>
    <w:p w14:paraId="3AACD721">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为贯彻落实中央纪委和省纪委集中整治动员部署会议精神，切实加强全区网络餐饮食品安全整治专项行动工作组织领导和统筹协调，现成立网络餐饮食品安全整治专项行动工作领导小组。具体名单如下：</w:t>
      </w:r>
    </w:p>
    <w:p w14:paraId="3589072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组  长：强  斌    党组书记、局长</w:t>
      </w:r>
    </w:p>
    <w:p w14:paraId="50571E9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副组长：胡翠翠    区纪委监委第三派驻纪检监察组组长 </w:t>
      </w:r>
    </w:p>
    <w:p w14:paraId="59A6E239">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汪  洁    党组成员、副局长</w:t>
      </w:r>
    </w:p>
    <w:p w14:paraId="6C7AC757">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周  敏    党组成员、大通市场监管所所长</w:t>
      </w:r>
    </w:p>
    <w:p w14:paraId="065B0B5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赵家毅    党组成员、上窑市场监管所所长</w:t>
      </w:r>
    </w:p>
    <w:p w14:paraId="192C0986">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成  员：程  旭    九龙岗市场监管所所长</w:t>
      </w:r>
    </w:p>
    <w:p w14:paraId="4EAEDE6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王福彬    孔店市场监管所所长</w:t>
      </w:r>
    </w:p>
    <w:p w14:paraId="2F3883FB">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平  静    洛河市场监管所所长</w:t>
      </w:r>
    </w:p>
    <w:p w14:paraId="759AB12C">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方  瑾    办公室副主任 </w:t>
      </w:r>
    </w:p>
    <w:p w14:paraId="66825FAF">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张  喆    经检股股长</w:t>
      </w:r>
    </w:p>
    <w:p w14:paraId="1FA58509">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王  佳    注册登记股负责人</w:t>
      </w:r>
    </w:p>
    <w:p w14:paraId="798DB81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丁  玲    综合执法办公室主任</w:t>
      </w:r>
    </w:p>
    <w:p w14:paraId="0AD96479">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次仁德吉  食药股股长</w:t>
      </w:r>
    </w:p>
    <w:p w14:paraId="26CFF5B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网络餐饮食品安全整治专项行动工作领导小组办公室设在食药股。领导小组成员因工作调整或职务变动的，由其继任者履行成员单位职责，不再另行下文。</w:t>
      </w:r>
    </w:p>
    <w:p w14:paraId="067B0881"/>
    <w:sectPr>
      <w:pgSz w:w="11906" w:h="16838"/>
      <w:pgMar w:top="1701" w:right="1531" w:bottom="1440" w:left="1531" w:header="851" w:footer="850" w:gutter="0"/>
      <w:pgNumType w:fmt="numberInDash"/>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380E78"/>
    <w:rsid w:val="79380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qFormat/>
    <w:uiPriority w:val="0"/>
    <w:rPr>
      <w:b/>
      <w:bCs/>
    </w:rPr>
  </w:style>
  <w:style w:type="paragraph" w:customStyle="1" w:styleId="5">
    <w:name w:val="p0"/>
    <w:qFormat/>
    <w:uiPriority w:val="0"/>
    <w:pPr>
      <w:widowControl/>
      <w:jc w:val="both"/>
    </w:pPr>
    <w:rPr>
      <w:rFonts w:ascii="Calibri" w:hAnsi="Calibri" w:eastAsia="宋体" w:cs="宋体"/>
      <w:kern w:val="0"/>
      <w:sz w:val="21"/>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2026-06-15T01:34:00Z</dcterms:created>
  <dc:creator>气鼓鼓的小河豚</dc:creator>
  <cp:lastModifiedBy>气鼓鼓的小河豚</cp:lastModifiedBy>
  <dcterms:modified xsi:type="dcterms:W3CDTF">2026-06-15T01:35:25Z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CE94DCA9059147E7A8E5849C9B7DB6FB_11</vt:lpwstr>
  </property>
  <property fmtid="{D5CDD505-2E9C-101B-9397-08002B2CF9AE}" pid="4" name="KSOTemplateDocerSaveRecord">
    <vt:lpwstr>eyJoZGlkIjoiODMyZWNhMmEwMDVlNzk0NTBjZDU5ZmQwMTI1OWJkYmUiLCJ1c2VySWQiOiI3MDg5OTk2NDUifQ==</vt:lpwstr>
  </property>
</Properties>
</file>