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568A2">
      <w:pPr>
        <w:pStyle w:val="6"/>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Fonts w:hint="default" w:ascii="Times New Roman" w:hAnsi="Times New Roman" w:eastAsia="方正小标宋简体" w:cs="Times New Roman"/>
          <w:snapToGrid w:val="0"/>
          <w:color w:val="000000"/>
          <w:kern w:val="0"/>
          <w:sz w:val="44"/>
          <w:szCs w:val="44"/>
          <w:lang w:val="en-US" w:eastAsia="zh-CN" w:bidi="ar"/>
        </w:rPr>
      </w:pPr>
      <w:bookmarkStart w:id="0" w:name="_GoBack"/>
      <w:bookmarkEnd w:id="0"/>
    </w:p>
    <w:p w14:paraId="640AB59F">
      <w:pPr>
        <w:pStyle w:val="6"/>
        <w:keepNext w:val="0"/>
        <w:keepLines w:val="0"/>
        <w:pageBreakBefore w:val="0"/>
        <w:widowControl w:val="0"/>
        <w:kinsoku/>
        <w:wordWrap/>
        <w:overflowPunct/>
        <w:topLinePunct w:val="0"/>
        <w:autoSpaceDE/>
        <w:autoSpaceDN/>
        <w:bidi w:val="0"/>
        <w:adjustRightInd/>
        <w:snapToGrid/>
        <w:spacing w:beforeAutospacing="0" w:afterAutospacing="0" w:line="590" w:lineRule="exact"/>
        <w:ind w:left="0" w:leftChars="0" w:right="0" w:rightChars="0"/>
        <w:jc w:val="center"/>
        <w:textAlignment w:val="auto"/>
        <w:rPr>
          <w:rStyle w:val="5"/>
          <w:rFonts w:hint="default" w:ascii="Times New Roman" w:hAnsi="Times New Roman" w:eastAsia="方正小标宋_GBK" w:cs="Times New Roman"/>
          <w:b w:val="0"/>
          <w:kern w:val="2"/>
          <w:sz w:val="44"/>
          <w:szCs w:val="44"/>
          <w:shd w:val="clear" w:color="auto" w:fill="FFFFFF"/>
          <w:lang w:val="en-US" w:eastAsia="zh-CN" w:bidi="ar-SA"/>
        </w:rPr>
      </w:pPr>
      <w:r>
        <w:rPr>
          <w:rFonts w:hint="default" w:ascii="Times New Roman" w:hAnsi="Times New Roman" w:eastAsia="方正小标宋简体" w:cs="Times New Roman"/>
          <w:snapToGrid w:val="0"/>
          <w:color w:val="000000"/>
          <w:kern w:val="0"/>
          <w:sz w:val="44"/>
          <w:szCs w:val="44"/>
          <w:lang w:val="en-US" w:eastAsia="zh-CN" w:bidi="ar"/>
        </w:rPr>
        <w:t>关于印发</w:t>
      </w:r>
      <w:r>
        <w:rPr>
          <w:rStyle w:val="5"/>
          <w:rFonts w:hint="default" w:ascii="Times New Roman" w:hAnsi="Times New Roman" w:eastAsia="方正小标宋_GBK" w:cs="Times New Roman"/>
          <w:b w:val="0"/>
          <w:kern w:val="2"/>
          <w:sz w:val="44"/>
          <w:szCs w:val="44"/>
          <w:shd w:val="clear" w:color="auto" w:fill="FFFFFF"/>
          <w:lang w:val="en-US" w:eastAsia="zh-CN" w:bidi="ar-SA"/>
        </w:rPr>
        <w:t>《大通区防汛预警和应急响应联动</w:t>
      </w:r>
    </w:p>
    <w:p w14:paraId="4E2F9732">
      <w:pPr>
        <w:keepNext w:val="0"/>
        <w:keepLines w:val="0"/>
        <w:pageBreakBefore w:val="0"/>
        <w:widowControl/>
        <w:suppressLineNumbers w:val="0"/>
        <w:kinsoku w:val="0"/>
        <w:overflowPunct/>
        <w:topLinePunct w:val="0"/>
        <w:autoSpaceDE w:val="0"/>
        <w:autoSpaceDN w:val="0"/>
        <w:bidi w:val="0"/>
        <w:adjustRightInd w:val="0"/>
        <w:snapToGrid w:val="0"/>
        <w:spacing w:before="0" w:beforeAutospacing="0" w:after="0" w:afterAutospacing="0" w:line="578" w:lineRule="exact"/>
        <w:ind w:left="0" w:right="0" w:firstLine="0"/>
        <w:jc w:val="center"/>
        <w:textAlignment w:val="baseline"/>
        <w:rPr>
          <w:rFonts w:hint="default" w:ascii="Times New Roman" w:hAnsi="Times New Roman" w:eastAsia="方正小标宋简体" w:cs="Times New Roman"/>
          <w:snapToGrid w:val="0"/>
          <w:color w:val="000000"/>
          <w:kern w:val="0"/>
          <w:sz w:val="44"/>
          <w:szCs w:val="44"/>
          <w:lang w:val="en-US" w:eastAsia="zh-CN" w:bidi="ar"/>
        </w:rPr>
      </w:pPr>
      <w:r>
        <w:rPr>
          <w:rStyle w:val="5"/>
          <w:rFonts w:hint="default" w:ascii="Times New Roman" w:hAnsi="Times New Roman" w:eastAsia="方正小标宋_GBK" w:cs="Times New Roman"/>
          <w:b w:val="0"/>
          <w:kern w:val="2"/>
          <w:sz w:val="44"/>
          <w:szCs w:val="44"/>
          <w:shd w:val="clear" w:color="auto" w:fill="FFFFFF"/>
          <w:lang w:val="en-US" w:eastAsia="zh-CN" w:bidi="ar-SA"/>
        </w:rPr>
        <w:t>工作机制》</w:t>
      </w:r>
      <w:r>
        <w:rPr>
          <w:rFonts w:hint="default" w:ascii="Times New Roman" w:hAnsi="Times New Roman" w:eastAsia="方正小标宋简体" w:cs="Times New Roman"/>
          <w:snapToGrid w:val="0"/>
          <w:color w:val="000000"/>
          <w:kern w:val="0"/>
          <w:sz w:val="44"/>
          <w:szCs w:val="44"/>
          <w:lang w:val="en-US" w:eastAsia="zh-CN" w:bidi="ar"/>
        </w:rPr>
        <w:t>的通知</w:t>
      </w:r>
    </w:p>
    <w:p w14:paraId="7C009EEE">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center"/>
        <w:textAlignment w:val="auto"/>
        <w:rPr>
          <w:rFonts w:hint="eastAsia" w:ascii="Times New Roman" w:hAnsi="Times New Roman" w:eastAsia="仿宋_GB2312" w:cs="Times New Roman"/>
          <w:b w:val="0"/>
          <w:bCs w:val="0"/>
          <w:color w:val="000000"/>
          <w:sz w:val="32"/>
          <w:szCs w:val="32"/>
          <w:lang w:val="en-US" w:eastAsia="zh-CN"/>
        </w:rPr>
      </w:pPr>
      <w:r>
        <w:rPr>
          <w:rFonts w:hint="eastAsia" w:ascii="Times New Roman" w:hAnsi="Times New Roman" w:eastAsia="仿宋_GB2312" w:cs="Times New Roman"/>
          <w:b w:val="0"/>
          <w:bCs w:val="0"/>
          <w:color w:val="000000"/>
          <w:sz w:val="32"/>
          <w:szCs w:val="32"/>
          <w:lang w:val="en-US" w:eastAsia="zh-CN"/>
        </w:rPr>
        <w:t>（起草说明）</w:t>
      </w:r>
    </w:p>
    <w:p w14:paraId="583F6BF4">
      <w:pPr>
        <w:rPr>
          <w:rFonts w:hint="default" w:ascii="Times New Roman" w:hAnsi="Times New Roman" w:eastAsia="方正仿宋_GBK" w:cs="Times New Roman"/>
          <w:kern w:val="0"/>
          <w:sz w:val="32"/>
          <w:szCs w:val="32"/>
          <w:shd w:val="clear" w:color="auto" w:fill="FFFFFF"/>
          <w:lang w:val="en-US" w:eastAsia="zh-CN" w:bidi="ar-SA"/>
        </w:rPr>
      </w:pPr>
    </w:p>
    <w:p w14:paraId="1B4AE9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一、制定意义</w:t>
      </w:r>
    </w:p>
    <w:p w14:paraId="64C802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w:t>
      </w:r>
      <w:r>
        <w:rPr>
          <w:rFonts w:hint="eastAsia" w:ascii="Times New Roman" w:hAnsi="Times New Roman" w:eastAsia="仿宋_GB2312" w:cs="Times New Roman"/>
          <w:sz w:val="32"/>
          <w:szCs w:val="32"/>
          <w:lang w:val="en-US" w:eastAsia="zh-CN"/>
        </w:rPr>
        <w:t>贯</w:t>
      </w:r>
      <w:r>
        <w:rPr>
          <w:rFonts w:hint="default" w:ascii="Times New Roman" w:hAnsi="Times New Roman" w:eastAsia="仿宋_GB2312" w:cs="Times New Roman"/>
          <w:sz w:val="32"/>
          <w:szCs w:val="32"/>
          <w:lang w:val="en-US" w:eastAsia="zh-CN"/>
        </w:rPr>
        <w:t>彻</w:t>
      </w:r>
      <w:r>
        <w:rPr>
          <w:rFonts w:hint="eastAsia" w:ascii="Times New Roman" w:hAnsi="Times New Roman" w:eastAsia="仿宋_GB2312" w:cs="Times New Roman"/>
          <w:sz w:val="32"/>
          <w:szCs w:val="32"/>
          <w:lang w:val="en-US" w:eastAsia="zh-CN"/>
        </w:rPr>
        <w:t>落实</w:t>
      </w:r>
      <w:r>
        <w:rPr>
          <w:rFonts w:hint="default" w:ascii="Times New Roman" w:hAnsi="Times New Roman" w:eastAsia="仿宋_GB2312" w:cs="Times New Roman"/>
          <w:sz w:val="32"/>
          <w:szCs w:val="32"/>
          <w:lang w:val="en-US" w:eastAsia="zh-CN"/>
        </w:rPr>
        <w:t>省、市防指及区委、区政府工作部署，着眼解决自然灾害和生产安全事故应急工作出现的新情况新问题，强化基层应急处置能力，切实做好极端暴雨防范应对工作。进一步建立完善统一指挥、专常兼备、反应灵敏、上下联动的应急管理体制，不断提升突发事件应急处置和紧急救援能力，科学、有序、有效应对灾害事故，最大程度减少人员伤亡和财产损失。</w:t>
      </w:r>
    </w:p>
    <w:p w14:paraId="3C1B919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right="0" w:rightChars="0" w:firstLine="640" w:firstLineChars="200"/>
        <w:jc w:val="left"/>
        <w:textAlignment w:val="auto"/>
        <w:rPr>
          <w:rFonts w:hint="eastAsia" w:ascii="黑体" w:hAnsi="宋体" w:eastAsia="黑体" w:cs="黑体"/>
          <w:i w:val="0"/>
          <w:iCs w:val="0"/>
          <w:caps w:val="0"/>
          <w:color w:val="333333"/>
          <w:spacing w:val="0"/>
          <w:sz w:val="32"/>
          <w:szCs w:val="32"/>
          <w:shd w:val="clear" w:fill="FFFFFF"/>
          <w:lang w:val="en-US" w:eastAsia="zh-CN"/>
        </w:rPr>
      </w:pPr>
      <w:r>
        <w:rPr>
          <w:rFonts w:hint="eastAsia" w:ascii="黑体" w:hAnsi="宋体" w:eastAsia="黑体" w:cs="黑体"/>
          <w:i w:val="0"/>
          <w:iCs w:val="0"/>
          <w:caps w:val="0"/>
          <w:color w:val="333333"/>
          <w:spacing w:val="0"/>
          <w:sz w:val="32"/>
          <w:szCs w:val="32"/>
          <w:shd w:val="clear" w:fill="FFFFFF"/>
          <w:lang w:val="en-US" w:eastAsia="zh-CN"/>
        </w:rPr>
        <w:t>二、目标任务</w:t>
      </w:r>
    </w:p>
    <w:p w14:paraId="731D269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根据《淮南市防汛预警和应急响应联动工作机制》，以习近平新时代中国特色社会主义思想为指导，深入贯彻落实习近平总书记关于防灾减灾救灾的重要论述和关于防汛抗旱工作的重要指示精神，坚持人民至上、生命至上，按照省、市防指及区委、区政府工作部署，进一步完善体制机制，结合</w:t>
      </w:r>
      <w:r>
        <w:rPr>
          <w:rFonts w:hint="eastAsia" w:ascii="Times New Roman" w:hAnsi="Times New Roman" w:eastAsia="仿宋_GB2312" w:cs="Times New Roman"/>
          <w:sz w:val="32"/>
          <w:szCs w:val="32"/>
          <w:lang w:val="en-US" w:eastAsia="zh-CN"/>
        </w:rPr>
        <w:t>本</w:t>
      </w:r>
      <w:r>
        <w:rPr>
          <w:rFonts w:hint="default" w:ascii="Times New Roman" w:hAnsi="Times New Roman" w:eastAsia="仿宋_GB2312" w:cs="Times New Roman"/>
          <w:sz w:val="32"/>
          <w:szCs w:val="32"/>
          <w:lang w:val="en-US" w:eastAsia="zh-CN"/>
        </w:rPr>
        <w:t>区实际制定实施细则，确保预警与响应衔接更紧密、更具可操作性。</w:t>
      </w:r>
    </w:p>
    <w:p w14:paraId="42FEB0C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200" w:right="0" w:rightChars="0"/>
        <w:jc w:val="left"/>
        <w:textAlignment w:val="auto"/>
        <w:rPr>
          <w:rFonts w:hint="eastAsia" w:ascii="黑体" w:hAnsi="宋体" w:eastAsia="黑体" w:cs="黑体"/>
          <w:i w:val="0"/>
          <w:iCs w:val="0"/>
          <w:caps w:val="0"/>
          <w:color w:val="333333"/>
          <w:spacing w:val="0"/>
          <w:sz w:val="32"/>
          <w:szCs w:val="32"/>
          <w:shd w:val="clear" w:fill="FFFFFF"/>
        </w:rPr>
      </w:pPr>
      <w:r>
        <w:rPr>
          <w:rFonts w:hint="eastAsia" w:ascii="黑体" w:hAnsi="宋体" w:eastAsia="黑体" w:cs="黑体"/>
          <w:i w:val="0"/>
          <w:iCs w:val="0"/>
          <w:caps w:val="0"/>
          <w:color w:val="333333"/>
          <w:spacing w:val="0"/>
          <w:sz w:val="32"/>
          <w:szCs w:val="32"/>
          <w:shd w:val="clear" w:fill="FFFFFF"/>
          <w:lang w:val="en-US" w:eastAsia="zh-CN"/>
        </w:rPr>
        <w:t>三、</w:t>
      </w:r>
      <w:r>
        <w:rPr>
          <w:rFonts w:hint="eastAsia" w:ascii="黑体" w:hAnsi="宋体" w:eastAsia="黑体" w:cs="黑体"/>
          <w:i w:val="0"/>
          <w:iCs w:val="0"/>
          <w:caps w:val="0"/>
          <w:color w:val="333333"/>
          <w:spacing w:val="0"/>
          <w:sz w:val="32"/>
          <w:szCs w:val="32"/>
          <w:shd w:val="clear" w:fill="FFFFFF"/>
        </w:rPr>
        <w:t>主要内容</w:t>
      </w:r>
    </w:p>
    <w:p w14:paraId="151A89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kern w:val="2"/>
          <w:sz w:val="32"/>
          <w:szCs w:val="32"/>
          <w:lang w:val="en-US" w:eastAsia="zh-CN" w:bidi="ar-SA"/>
        </w:rPr>
        <w:t>《大通区防汛预警和应急响应联动工作机制》</w:t>
      </w:r>
      <w:r>
        <w:rPr>
          <w:rFonts w:hint="eastAsia" w:ascii="Times New Roman" w:hAnsi="Times New Roman" w:eastAsia="仿宋_GB2312" w:cs="Times New Roman"/>
          <w:kern w:val="2"/>
          <w:sz w:val="32"/>
          <w:szCs w:val="32"/>
          <w:lang w:val="en-US" w:eastAsia="zh-CN" w:bidi="ar-SA"/>
        </w:rPr>
        <w:t>共分十一条，</w:t>
      </w:r>
      <w:r>
        <w:rPr>
          <w:rFonts w:hint="default" w:ascii="Times New Roman" w:hAnsi="Times New Roman" w:eastAsia="仿宋_GB2312" w:cs="Times New Roman"/>
          <w:sz w:val="32"/>
          <w:szCs w:val="32"/>
          <w:lang w:val="en-US" w:eastAsia="zh-CN"/>
        </w:rPr>
        <w:t>把人民至上、生命至上贯穿始终</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kern w:val="2"/>
          <w:sz w:val="32"/>
          <w:szCs w:val="32"/>
          <w:lang w:val="en-US" w:eastAsia="zh-CN" w:bidi="ar-SA"/>
        </w:rPr>
        <w:t>明确了</w:t>
      </w:r>
      <w:r>
        <w:rPr>
          <w:rFonts w:hint="default" w:ascii="Times New Roman" w:hAnsi="Times New Roman" w:eastAsia="仿宋_GB2312" w:cs="Times New Roman"/>
          <w:sz w:val="32"/>
          <w:szCs w:val="32"/>
          <w:lang w:val="en-US" w:eastAsia="zh-CN"/>
        </w:rPr>
        <w:t>明确区、乡镇（街道）、村（社区）三级预警“叫应”责任和时限要求，规范</w:t>
      </w:r>
      <w:r>
        <w:rPr>
          <w:rFonts w:hint="eastAsia" w:ascii="Times New Roman" w:hAnsi="Times New Roman" w:eastAsia="仿宋_GB2312" w:cs="Times New Roman"/>
          <w:sz w:val="32"/>
          <w:szCs w:val="32"/>
          <w:lang w:val="en-US" w:eastAsia="zh-CN"/>
        </w:rPr>
        <w:t>了</w:t>
      </w:r>
      <w:r>
        <w:rPr>
          <w:rFonts w:hint="default" w:ascii="Times New Roman" w:hAnsi="Times New Roman" w:eastAsia="仿宋_GB2312" w:cs="Times New Roman"/>
          <w:sz w:val="32"/>
          <w:szCs w:val="32"/>
          <w:lang w:val="en-US" w:eastAsia="zh-CN"/>
        </w:rPr>
        <w:t>暴雨、洪水、台风等预警下的“叫应”流程和响应措施，强化</w:t>
      </w:r>
      <w:r>
        <w:rPr>
          <w:rFonts w:hint="eastAsia" w:ascii="Times New Roman" w:hAnsi="Times New Roman" w:eastAsia="仿宋_GB2312" w:cs="Times New Roman"/>
          <w:sz w:val="32"/>
          <w:szCs w:val="32"/>
          <w:lang w:val="en-US" w:eastAsia="zh-CN"/>
        </w:rPr>
        <w:t>了</w:t>
      </w:r>
      <w:r>
        <w:rPr>
          <w:rFonts w:hint="default" w:ascii="Times New Roman" w:hAnsi="Times New Roman" w:eastAsia="仿宋_GB2312" w:cs="Times New Roman"/>
          <w:sz w:val="32"/>
          <w:szCs w:val="32"/>
          <w:lang w:val="en-US" w:eastAsia="zh-CN"/>
        </w:rPr>
        <w:t>联合会商、信息报送和力量前置，提高灾害防范应对的主动性。</w:t>
      </w:r>
    </w:p>
    <w:p w14:paraId="617B6A23"/>
    <w:sectPr>
      <w:pgSz w:w="11906" w:h="16838"/>
      <w:pgMar w:top="1701" w:right="1531" w:bottom="153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E1728A"/>
    <w:rsid w:val="69E1728A"/>
    <w:rsid w:val="7A3C72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widowControl w:val="0"/>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5">
    <w:name w:val="Strong"/>
    <w:qFormat/>
    <w:uiPriority w:val="0"/>
    <w:rPr>
      <w:b/>
      <w:bCs/>
    </w:rPr>
  </w:style>
  <w:style w:type="paragraph" w:customStyle="1" w:styleId="6">
    <w:name w:val="p0"/>
    <w:qFormat/>
    <w:uiPriority w:val="0"/>
    <w:pPr>
      <w:widowControl/>
    </w:pPr>
    <w:rPr>
      <w:rFonts w:ascii="Calibri" w:hAnsi="Calibri" w:eastAsia="宋体" w:cs="宋体"/>
      <w:kern w:val="0"/>
      <w:sz w:val="20"/>
      <w:szCs w:val="32"/>
      <w:lang w:val="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2026-06-12T07:52:00Z</dcterms:created>
  <dc:creator>气鼓鼓的小河豚</dc:creator>
  <cp:lastModifiedBy>气鼓鼓的小河豚</cp:lastModifiedBy>
  <dcterms:modified xsi:type="dcterms:W3CDTF">2026-06-12T07:53:03Z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31AAC62C11A049C2A494FBFB20E70742_11</vt:lpwstr>
  </property>
  <property fmtid="{D5CDD505-2E9C-101B-9397-08002B2CF9AE}" pid="4" name="KSOTemplateDocerSaveRecord">
    <vt:lpwstr>eyJoZGlkIjoiODMyZWNhMmEwMDVlNzk0NTBjZDU5ZmQwMTI1OWJkYmUiLCJ1c2VySWQiOiI3MDg5OTk2NDUifQ==</vt:lpwstr>
  </property>
</Properties>
</file>