
<file path=[Content_Types].xml><?xml version="1.0" encoding="utf-8"?>
<Types xmlns="http://schemas.openxmlformats.org/package/2006/content-types">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8CDD9">
      <w:pPr>
        <w:rPr>
          <w:rFonts w:hint="default" w:ascii="Times New Roman" w:hAnsi="Times New Roman" w:eastAsia="宋体" w:cs="Times New Roman"/>
          <w:sz w:val="36"/>
          <w:szCs w:val="36"/>
        </w:rPr>
      </w:pPr>
    </w:p>
    <w:p w14:paraId="28CBDC09">
      <w:pPr>
        <w:rPr>
          <w:rFonts w:hint="default" w:ascii="Times New Roman" w:hAnsi="Times New Roman" w:eastAsia="宋体" w:cs="Times New Roman"/>
          <w:sz w:val="36"/>
          <w:szCs w:val="36"/>
        </w:rPr>
      </w:pPr>
    </w:p>
    <w:p w14:paraId="2AFDF61F">
      <w:pPr>
        <w:rPr>
          <w:rFonts w:hint="default" w:ascii="Times New Roman" w:hAnsi="Times New Roman" w:eastAsia="宋体" w:cs="Times New Roman"/>
          <w:sz w:val="36"/>
          <w:szCs w:val="36"/>
        </w:rPr>
      </w:pPr>
    </w:p>
    <w:p w14:paraId="37DB03A9">
      <w:pPr>
        <w:rPr>
          <w:rFonts w:hint="default" w:ascii="Times New Roman" w:hAnsi="Times New Roman" w:eastAsia="宋体" w:cs="Times New Roman"/>
          <w:sz w:val="36"/>
          <w:szCs w:val="36"/>
        </w:rPr>
      </w:pPr>
    </w:p>
    <w:p w14:paraId="4EE3886B">
      <w:pPr>
        <w:rPr>
          <w:rFonts w:hint="default" w:ascii="Times New Roman" w:hAnsi="Times New Roman" w:eastAsia="宋体" w:cs="Times New Roman"/>
          <w:sz w:val="36"/>
          <w:szCs w:val="36"/>
        </w:rPr>
      </w:pPr>
    </w:p>
    <w:p w14:paraId="14DECF82">
      <w:pPr>
        <w:adjustRightInd w:val="0"/>
        <w:snapToGrid w:val="0"/>
        <w:jc w:val="center"/>
        <w:outlineLvl w:val="0"/>
        <w:rPr>
          <w:rFonts w:hint="default" w:ascii="Times New Roman" w:hAnsi="Times New Roman" w:eastAsia="宋体" w:cs="Times New Roman"/>
          <w:bCs/>
          <w:sz w:val="52"/>
          <w:szCs w:val="52"/>
        </w:rPr>
      </w:pPr>
      <w:bookmarkStart w:id="0" w:name="_Toc17679"/>
      <w:r>
        <w:rPr>
          <w:rFonts w:hint="default" w:ascii="Times New Roman" w:hAnsi="Times New Roman" w:eastAsia="宋体" w:cs="Times New Roman"/>
          <w:bCs/>
          <w:sz w:val="52"/>
          <w:szCs w:val="52"/>
        </w:rPr>
        <w:t>建设项目环境影响报告表</w:t>
      </w:r>
      <w:bookmarkEnd w:id="0"/>
    </w:p>
    <w:p w14:paraId="45E79FAB">
      <w:pPr>
        <w:adjustRightInd w:val="0"/>
        <w:snapToGrid w:val="0"/>
        <w:spacing w:before="192" w:beforeLines="80"/>
        <w:jc w:val="center"/>
        <w:rPr>
          <w:rFonts w:hint="default" w:ascii="Times New Roman" w:hAnsi="Times New Roman" w:eastAsia="宋体" w:cs="Times New Roman"/>
          <w:bCs/>
          <w:sz w:val="44"/>
          <w:szCs w:val="44"/>
        </w:rPr>
      </w:pPr>
      <w:r>
        <w:rPr>
          <w:rFonts w:hint="default" w:ascii="Times New Roman" w:hAnsi="Times New Roman" w:eastAsia="宋体" w:cs="Times New Roman"/>
          <w:bCs/>
          <w:sz w:val="44"/>
          <w:szCs w:val="44"/>
        </w:rPr>
        <w:t>（污染影响类）</w:t>
      </w:r>
    </w:p>
    <w:p w14:paraId="48A43639">
      <w:pPr>
        <w:jc w:val="center"/>
        <w:rPr>
          <w:rFonts w:hint="default" w:ascii="Times New Roman" w:hAnsi="Times New Roman" w:eastAsia="宋体" w:cs="Times New Roman"/>
          <w:sz w:val="52"/>
          <w:szCs w:val="52"/>
        </w:rPr>
      </w:pPr>
    </w:p>
    <w:p w14:paraId="6B1D1DCB">
      <w:pPr>
        <w:jc w:val="center"/>
        <w:rPr>
          <w:rFonts w:hint="default" w:ascii="Times New Roman" w:hAnsi="Times New Roman" w:eastAsia="宋体" w:cs="Times New Roman"/>
          <w:sz w:val="52"/>
          <w:szCs w:val="52"/>
        </w:rPr>
      </w:pPr>
    </w:p>
    <w:p w14:paraId="13A3FD69">
      <w:pPr>
        <w:ind w:firstLine="1040"/>
        <w:rPr>
          <w:rFonts w:hint="default" w:ascii="Times New Roman" w:hAnsi="Times New Roman" w:eastAsia="宋体" w:cs="Times New Roman"/>
          <w:sz w:val="44"/>
          <w:szCs w:val="44"/>
        </w:rPr>
      </w:pPr>
    </w:p>
    <w:p w14:paraId="7687A30B">
      <w:pPr>
        <w:ind w:firstLine="1040"/>
        <w:rPr>
          <w:rFonts w:hint="default" w:ascii="Times New Roman" w:hAnsi="Times New Roman" w:eastAsia="宋体" w:cs="Times New Roman"/>
          <w:sz w:val="44"/>
          <w:szCs w:val="44"/>
        </w:rPr>
      </w:pPr>
    </w:p>
    <w:p w14:paraId="50AF57B8">
      <w:pPr>
        <w:ind w:firstLine="1040"/>
        <w:rPr>
          <w:rFonts w:hint="default" w:ascii="Times New Roman" w:hAnsi="Times New Roman" w:eastAsia="宋体" w:cs="Times New Roman"/>
          <w:sz w:val="44"/>
          <w:szCs w:val="44"/>
        </w:rPr>
      </w:pPr>
    </w:p>
    <w:p w14:paraId="071C165B">
      <w:pPr>
        <w:ind w:firstLine="1040"/>
        <w:rPr>
          <w:rFonts w:hint="default" w:ascii="Times New Roman" w:hAnsi="Times New Roman" w:eastAsia="宋体" w:cs="Times New Roman"/>
          <w:sz w:val="44"/>
          <w:szCs w:val="44"/>
        </w:rPr>
      </w:pPr>
    </w:p>
    <w:p w14:paraId="57AF1C68">
      <w:pPr>
        <w:adjustRightInd w:val="0"/>
        <w:snapToGrid w:val="0"/>
        <w:spacing w:line="360" w:lineRule="auto"/>
        <w:ind w:firstLine="600" w:firstLineChars="200"/>
        <w:rPr>
          <w:rStyle w:val="140"/>
          <w:rFonts w:hint="default" w:ascii="Times New Roman" w:hAnsi="Times New Roman" w:eastAsia="宋体" w:cs="Times New Roman"/>
          <w:sz w:val="30"/>
          <w:szCs w:val="30"/>
          <w:lang w:val="en-US" w:eastAsia="zh-CN"/>
        </w:rPr>
      </w:pPr>
      <w:r>
        <w:rPr>
          <w:rStyle w:val="140"/>
          <w:rFonts w:hint="default" w:ascii="Times New Roman" w:hAnsi="Times New Roman" w:eastAsia="宋体" w:cs="Times New Roman"/>
          <w:sz w:val="30"/>
          <w:szCs w:val="30"/>
          <w:u w:val="none"/>
          <w:lang w:eastAsia="zh-CN"/>
        </w:rPr>
        <w:t>项目名称：</w:t>
      </w:r>
      <w:r>
        <w:rPr>
          <w:rStyle w:val="140"/>
          <w:rFonts w:hint="eastAsia" w:ascii="Times New Roman" w:hAnsi="Times New Roman" w:eastAsia="宋体" w:cs="Times New Roman"/>
          <w:sz w:val="30"/>
          <w:szCs w:val="30"/>
          <w:lang w:eastAsia="zh-CN"/>
        </w:rPr>
        <w:t>年产10万吨高效土壤改良剂、营养土项目</w:t>
      </w:r>
      <w:r>
        <w:rPr>
          <w:rStyle w:val="140"/>
          <w:rFonts w:hint="default" w:ascii="Times New Roman" w:hAnsi="Times New Roman" w:eastAsia="宋体" w:cs="Times New Roman"/>
          <w:sz w:val="30"/>
          <w:szCs w:val="30"/>
          <w:lang w:val="en-US" w:eastAsia="zh-CN"/>
        </w:rPr>
        <w:t xml:space="preserve">  </w:t>
      </w:r>
    </w:p>
    <w:p w14:paraId="3E41D088">
      <w:pPr>
        <w:adjustRightInd w:val="0"/>
        <w:snapToGrid w:val="0"/>
        <w:spacing w:line="360" w:lineRule="auto"/>
        <w:ind w:firstLine="600" w:firstLineChars="20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建设单位（盖章）：</w:t>
      </w:r>
      <w:r>
        <w:rPr>
          <w:rStyle w:val="140"/>
          <w:rFonts w:hint="eastAsia" w:ascii="Times New Roman" w:hAnsi="Times New Roman" w:eastAsia="宋体" w:cs="Times New Roman"/>
          <w:sz w:val="30"/>
          <w:szCs w:val="30"/>
          <w:lang w:eastAsia="zh-CN"/>
        </w:rPr>
        <w:t>安徽省馨顺生物科技有限公司</w:t>
      </w:r>
      <w:r>
        <w:rPr>
          <w:rStyle w:val="140"/>
          <w:rFonts w:hint="default" w:ascii="Times New Roman" w:hAnsi="Times New Roman" w:eastAsia="宋体" w:cs="Times New Roman"/>
          <w:sz w:val="30"/>
          <w:szCs w:val="30"/>
          <w:lang w:val="en-US" w:eastAsia="zh-CN"/>
        </w:rPr>
        <w:t xml:space="preserve"> </w:t>
      </w:r>
      <w:r>
        <w:rPr>
          <w:rStyle w:val="140"/>
          <w:rFonts w:hint="eastAsia" w:ascii="Times New Roman" w:hAnsi="Times New Roman" w:eastAsia="宋体" w:cs="Times New Roman"/>
          <w:sz w:val="30"/>
          <w:szCs w:val="30"/>
          <w:lang w:val="en-US" w:eastAsia="zh-CN"/>
        </w:rPr>
        <w:t xml:space="preserve"> </w:t>
      </w:r>
      <w:r>
        <w:rPr>
          <w:rStyle w:val="140"/>
          <w:rFonts w:hint="default" w:ascii="Times New Roman" w:hAnsi="Times New Roman" w:eastAsia="宋体" w:cs="Times New Roman"/>
          <w:sz w:val="30"/>
          <w:szCs w:val="30"/>
          <w:lang w:val="en-US" w:eastAsia="zh-CN"/>
        </w:rPr>
        <w:t xml:space="preserve">  </w:t>
      </w:r>
      <w:r>
        <w:rPr>
          <w:rStyle w:val="140"/>
          <w:rFonts w:hint="default" w:ascii="Times New Roman" w:hAnsi="Times New Roman" w:eastAsia="宋体" w:cs="Times New Roman"/>
          <w:sz w:val="30"/>
          <w:szCs w:val="30"/>
        </w:rPr>
        <w:t xml:space="preserve"> </w:t>
      </w:r>
    </w:p>
    <w:p w14:paraId="5F7FDEBB">
      <w:pPr>
        <w:adjustRightInd w:val="0"/>
        <w:snapToGrid w:val="0"/>
        <w:spacing w:line="360" w:lineRule="auto"/>
        <w:ind w:firstLine="600" w:firstLineChars="20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编制日期：</w:t>
      </w:r>
      <w:r>
        <w:rPr>
          <w:rStyle w:val="140"/>
          <w:rFonts w:hint="default" w:ascii="Times New Roman" w:hAnsi="Times New Roman" w:eastAsia="宋体" w:cs="Times New Roman"/>
          <w:sz w:val="30"/>
          <w:szCs w:val="30"/>
        </w:rPr>
        <w:t xml:space="preserve">           二〇二</w:t>
      </w:r>
      <w:r>
        <w:rPr>
          <w:rStyle w:val="140"/>
          <w:rFonts w:hint="eastAsia" w:ascii="Times New Roman" w:hAnsi="Times New Roman" w:eastAsia="宋体" w:cs="Times New Roman"/>
          <w:sz w:val="30"/>
          <w:szCs w:val="30"/>
          <w:lang w:val="en-US" w:eastAsia="zh-CN"/>
        </w:rPr>
        <w:t>五</w:t>
      </w:r>
      <w:r>
        <w:rPr>
          <w:rStyle w:val="140"/>
          <w:rFonts w:hint="default" w:ascii="Times New Roman" w:hAnsi="Times New Roman" w:eastAsia="宋体" w:cs="Times New Roman"/>
          <w:sz w:val="30"/>
          <w:szCs w:val="30"/>
        </w:rPr>
        <w:t>年</w:t>
      </w:r>
      <w:r>
        <w:rPr>
          <w:rStyle w:val="140"/>
          <w:rFonts w:hint="eastAsia" w:ascii="Times New Roman" w:hAnsi="Times New Roman" w:eastAsia="宋体" w:cs="Times New Roman"/>
          <w:sz w:val="30"/>
          <w:szCs w:val="30"/>
          <w:lang w:val="en-US" w:eastAsia="zh-CN"/>
        </w:rPr>
        <w:t>一</w:t>
      </w:r>
      <w:r>
        <w:rPr>
          <w:rStyle w:val="140"/>
          <w:rFonts w:hint="default" w:ascii="Times New Roman" w:hAnsi="Times New Roman" w:eastAsia="宋体" w:cs="Times New Roman"/>
          <w:sz w:val="30"/>
          <w:szCs w:val="30"/>
        </w:rPr>
        <w:t xml:space="preserve">月       </w:t>
      </w:r>
      <w:r>
        <w:rPr>
          <w:rStyle w:val="140"/>
          <w:rFonts w:hint="eastAsia" w:ascii="Times New Roman" w:hAnsi="Times New Roman" w:eastAsia="宋体" w:cs="Times New Roman"/>
          <w:sz w:val="30"/>
          <w:szCs w:val="30"/>
          <w:lang w:val="en-US" w:eastAsia="zh-CN"/>
        </w:rPr>
        <w:t xml:space="preserve">   </w:t>
      </w:r>
      <w:r>
        <w:rPr>
          <w:rStyle w:val="140"/>
          <w:rFonts w:hint="default" w:ascii="Times New Roman" w:hAnsi="Times New Roman" w:eastAsia="宋体" w:cs="Times New Roman"/>
          <w:sz w:val="30"/>
          <w:szCs w:val="30"/>
        </w:rPr>
        <w:t xml:space="preserve">  </w:t>
      </w:r>
    </w:p>
    <w:p w14:paraId="3F854F91">
      <w:pPr>
        <w:adjustRightInd w:val="0"/>
        <w:snapToGrid w:val="0"/>
        <w:spacing w:line="288" w:lineRule="auto"/>
        <w:ind w:firstLine="1040"/>
        <w:rPr>
          <w:rFonts w:hint="default" w:ascii="Times New Roman" w:hAnsi="Times New Roman" w:eastAsia="宋体" w:cs="Times New Roman"/>
          <w:sz w:val="36"/>
          <w:szCs w:val="36"/>
          <w:u w:val="single"/>
        </w:rPr>
      </w:pPr>
      <w:bookmarkStart w:id="1" w:name="_Hlk57884087"/>
    </w:p>
    <w:p w14:paraId="4C60365D">
      <w:pPr>
        <w:adjustRightInd w:val="0"/>
        <w:snapToGrid w:val="0"/>
        <w:spacing w:line="288" w:lineRule="auto"/>
        <w:ind w:firstLine="1040"/>
        <w:rPr>
          <w:rFonts w:hint="default" w:ascii="Times New Roman" w:hAnsi="Times New Roman" w:eastAsia="宋体" w:cs="Times New Roman"/>
          <w:sz w:val="36"/>
          <w:szCs w:val="36"/>
        </w:rPr>
      </w:pPr>
    </w:p>
    <w:p w14:paraId="7B82FD0B">
      <w:pPr>
        <w:adjustRightInd w:val="0"/>
        <w:snapToGrid w:val="0"/>
        <w:spacing w:line="288" w:lineRule="auto"/>
        <w:ind w:firstLine="1040"/>
        <w:rPr>
          <w:rFonts w:hint="default" w:ascii="Times New Roman" w:hAnsi="Times New Roman" w:eastAsia="宋体" w:cs="Times New Roman"/>
          <w:sz w:val="36"/>
          <w:szCs w:val="36"/>
        </w:rPr>
      </w:pPr>
    </w:p>
    <w:p w14:paraId="35FFB512">
      <w:pPr>
        <w:adjustRightInd w:val="0"/>
        <w:snapToGrid w:val="0"/>
        <w:spacing w:line="288" w:lineRule="auto"/>
        <w:ind w:firstLine="1040"/>
        <w:rPr>
          <w:rFonts w:hint="default" w:ascii="Times New Roman" w:hAnsi="Times New Roman" w:eastAsia="宋体" w:cs="Times New Roman"/>
          <w:sz w:val="36"/>
          <w:szCs w:val="36"/>
        </w:rPr>
      </w:pPr>
    </w:p>
    <w:p w14:paraId="436CC997">
      <w:pPr>
        <w:adjustRightInd w:val="0"/>
        <w:snapToGrid w:val="0"/>
        <w:spacing w:line="288" w:lineRule="auto"/>
        <w:ind w:firstLine="1040"/>
        <w:rPr>
          <w:rFonts w:hint="default" w:ascii="Times New Roman" w:hAnsi="Times New Roman" w:eastAsia="宋体" w:cs="Times New Roman"/>
          <w:sz w:val="36"/>
          <w:szCs w:val="36"/>
        </w:rPr>
      </w:pPr>
    </w:p>
    <w:p w14:paraId="4D61B7F5">
      <w:pPr>
        <w:adjustRightInd w:val="0"/>
        <w:snapToGrid w:val="0"/>
        <w:spacing w:line="288" w:lineRule="auto"/>
        <w:ind w:firstLine="1040"/>
        <w:rPr>
          <w:rFonts w:hint="default" w:ascii="Times New Roman" w:hAnsi="Times New Roman" w:eastAsia="宋体" w:cs="Times New Roman"/>
          <w:sz w:val="36"/>
          <w:szCs w:val="36"/>
        </w:rPr>
      </w:pPr>
    </w:p>
    <w:bookmarkEnd w:id="1"/>
    <w:p w14:paraId="5D752ACC">
      <w:pPr>
        <w:adjustRightInd w:val="0"/>
        <w:snapToGrid w:val="0"/>
        <w:spacing w:line="288"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中华人民共和国生态环境部制</w:t>
      </w:r>
    </w:p>
    <w:p w14:paraId="11E00A39">
      <w:pPr>
        <w:pStyle w:val="28"/>
        <w:spacing w:before="0" w:beforeAutospacing="0" w:after="0" w:afterAutospacing="0"/>
        <w:jc w:val="center"/>
        <w:outlineLvl w:val="0"/>
        <w:rPr>
          <w:rFonts w:hint="eastAsia" w:ascii="仿宋" w:hAnsi="仿宋" w:eastAsia="仿宋" w:cs="仿宋"/>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4B47F72">
      <w:pPr>
        <w:pStyle w:val="28"/>
        <w:spacing w:before="0" w:beforeAutospacing="0" w:after="0" w:afterAutospacing="0"/>
        <w:jc w:val="center"/>
        <w:outlineLvl w:val="0"/>
        <w:rPr>
          <w:rFonts w:hint="eastAsia" w:ascii="仿宋" w:hAnsi="仿宋" w:eastAsia="仿宋" w:cs="仿宋"/>
          <w:b/>
          <w:bCs/>
          <w:snapToGrid w:val="0"/>
          <w:color w:val="auto"/>
          <w:sz w:val="30"/>
          <w:szCs w:val="30"/>
        </w:rPr>
      </w:pPr>
      <w:r>
        <w:rPr>
          <w:rFonts w:hint="eastAsia" w:ascii="仿宋" w:hAnsi="仿宋" w:eastAsia="仿宋" w:cs="仿宋"/>
          <w:b/>
          <w:bCs/>
          <w:snapToGrid w:val="0"/>
          <w:color w:val="auto"/>
          <w:sz w:val="30"/>
          <w:szCs w:val="30"/>
        </w:rPr>
        <w:t>一、建设项目基本情况</w:t>
      </w:r>
    </w:p>
    <w:tbl>
      <w:tblPr>
        <w:tblStyle w:val="32"/>
        <w:tblW w:w="88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352"/>
        <w:gridCol w:w="1932"/>
        <w:gridCol w:w="1610"/>
        <w:gridCol w:w="3994"/>
      </w:tblGrid>
      <w:tr w14:paraId="11A2B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352" w:type="dxa"/>
            <w:tcMar>
              <w:top w:w="16" w:type="dxa"/>
              <w:left w:w="16" w:type="dxa"/>
              <w:right w:w="16" w:type="dxa"/>
            </w:tcMar>
            <w:vAlign w:val="center"/>
          </w:tcPr>
          <w:p w14:paraId="5455709D">
            <w:pPr>
              <w:adjustRightInd w:val="0"/>
              <w:snapToGrid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建设项目名称</w:t>
            </w:r>
          </w:p>
        </w:tc>
        <w:tc>
          <w:tcPr>
            <w:tcW w:w="7536" w:type="dxa"/>
            <w:gridSpan w:val="3"/>
            <w:vAlign w:val="center"/>
          </w:tcPr>
          <w:p w14:paraId="2CC0C579">
            <w:pPr>
              <w:adjustRightInd w:val="0"/>
              <w:snapToGrid w:val="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年产10万吨高效土壤改良剂、营养土项目</w:t>
            </w:r>
          </w:p>
        </w:tc>
      </w:tr>
      <w:tr w14:paraId="18240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11" w:hRule="atLeast"/>
          <w:jc w:val="center"/>
        </w:trPr>
        <w:tc>
          <w:tcPr>
            <w:tcW w:w="1352" w:type="dxa"/>
            <w:tcMar>
              <w:top w:w="16" w:type="dxa"/>
              <w:left w:w="16" w:type="dxa"/>
              <w:right w:w="16" w:type="dxa"/>
            </w:tcMar>
            <w:vAlign w:val="center"/>
          </w:tcPr>
          <w:p w14:paraId="38E4E0C8">
            <w:pPr>
              <w:adjustRightInd w:val="0"/>
              <w:snapToGrid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项目代码</w:t>
            </w:r>
          </w:p>
        </w:tc>
        <w:tc>
          <w:tcPr>
            <w:tcW w:w="7536" w:type="dxa"/>
            <w:gridSpan w:val="3"/>
            <w:vAlign w:val="center"/>
          </w:tcPr>
          <w:p w14:paraId="1D3A971A">
            <w:pPr>
              <w:adjustRightInd w:val="0"/>
              <w:snapToGrid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2412-340402-04-01-174939</w:t>
            </w:r>
          </w:p>
        </w:tc>
      </w:tr>
      <w:tr w14:paraId="6C625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91" w:hRule="atLeast"/>
          <w:jc w:val="center"/>
        </w:trPr>
        <w:tc>
          <w:tcPr>
            <w:tcW w:w="1352" w:type="dxa"/>
            <w:tcMar>
              <w:top w:w="16" w:type="dxa"/>
              <w:left w:w="16" w:type="dxa"/>
              <w:right w:w="16" w:type="dxa"/>
            </w:tcMar>
            <w:vAlign w:val="center"/>
          </w:tcPr>
          <w:p w14:paraId="66F36CC2">
            <w:pPr>
              <w:adjustRightInd w:val="0"/>
              <w:snapToGrid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建设单位联系人</w:t>
            </w:r>
          </w:p>
        </w:tc>
        <w:tc>
          <w:tcPr>
            <w:tcW w:w="1932" w:type="dxa"/>
            <w:vAlign w:val="center"/>
          </w:tcPr>
          <w:p w14:paraId="65DD3F75">
            <w:pPr>
              <w:adjustRightInd w:val="0"/>
              <w:snapToGrid w:val="0"/>
              <w:jc w:val="center"/>
              <w:rPr>
                <w:rFonts w:hint="eastAsia" w:ascii="仿宋" w:hAnsi="仿宋" w:eastAsia="仿宋" w:cs="仿宋"/>
                <w:color w:val="auto"/>
                <w:sz w:val="24"/>
                <w:szCs w:val="24"/>
                <w:lang w:val="en-US" w:eastAsia="zh-CN"/>
              </w:rPr>
            </w:pPr>
            <w:r>
              <w:rPr>
                <w:rFonts w:hint="eastAsia" w:ascii="仿宋" w:hAnsi="仿宋" w:eastAsia="仿宋" w:cs="仿宋"/>
                <w:color w:val="000000"/>
                <w:kern w:val="0"/>
                <w:sz w:val="24"/>
                <w:szCs w:val="24"/>
                <w:lang w:val="en-US" w:eastAsia="zh-CN" w:bidi="ar-SA"/>
              </w:rPr>
              <w:t>胡馨元</w:t>
            </w:r>
          </w:p>
        </w:tc>
        <w:tc>
          <w:tcPr>
            <w:tcW w:w="1610" w:type="dxa"/>
            <w:vAlign w:val="center"/>
          </w:tcPr>
          <w:p w14:paraId="5E2BBEA5">
            <w:pPr>
              <w:adjustRightInd w:val="0"/>
              <w:snapToGrid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联系方式</w:t>
            </w:r>
          </w:p>
        </w:tc>
        <w:tc>
          <w:tcPr>
            <w:tcW w:w="3994" w:type="dxa"/>
            <w:vAlign w:val="center"/>
          </w:tcPr>
          <w:p w14:paraId="7F4714DA">
            <w:pPr>
              <w:adjustRightInd w:val="0"/>
              <w:snapToGrid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18098695899</w:t>
            </w:r>
          </w:p>
        </w:tc>
      </w:tr>
      <w:tr w14:paraId="6F555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1352" w:type="dxa"/>
            <w:tcMar>
              <w:top w:w="16" w:type="dxa"/>
              <w:left w:w="16" w:type="dxa"/>
              <w:right w:w="16" w:type="dxa"/>
            </w:tcMar>
            <w:vAlign w:val="center"/>
          </w:tcPr>
          <w:p w14:paraId="72FDF4BF">
            <w:pPr>
              <w:adjustRightInd w:val="0"/>
              <w:snapToGrid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建设地点</w:t>
            </w:r>
          </w:p>
        </w:tc>
        <w:tc>
          <w:tcPr>
            <w:tcW w:w="7536" w:type="dxa"/>
            <w:gridSpan w:val="3"/>
            <w:vAlign w:val="center"/>
          </w:tcPr>
          <w:p w14:paraId="56524825">
            <w:pPr>
              <w:adjustRightInd w:val="0"/>
              <w:snapToGrid w:val="0"/>
              <w:jc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安徽省淮南市大通区上窑镇206国道北侧上窑工业集聚区内</w:t>
            </w:r>
          </w:p>
        </w:tc>
      </w:tr>
      <w:tr w14:paraId="56CD1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352" w:type="dxa"/>
            <w:tcMar>
              <w:top w:w="16" w:type="dxa"/>
              <w:left w:w="16" w:type="dxa"/>
              <w:right w:w="16" w:type="dxa"/>
            </w:tcMar>
            <w:vAlign w:val="center"/>
          </w:tcPr>
          <w:p w14:paraId="30D63767">
            <w:pPr>
              <w:adjustRightInd w:val="0"/>
              <w:snapToGrid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地理坐标</w:t>
            </w:r>
          </w:p>
        </w:tc>
        <w:tc>
          <w:tcPr>
            <w:tcW w:w="7536" w:type="dxa"/>
            <w:gridSpan w:val="3"/>
            <w:vAlign w:val="center"/>
          </w:tcPr>
          <w:p w14:paraId="7BE2C4FB">
            <w:pPr>
              <w:jc w:val="center"/>
              <w:rPr>
                <w:rFonts w:hint="eastAsia" w:ascii="仿宋" w:hAnsi="仿宋" w:eastAsia="仿宋" w:cs="仿宋"/>
                <w:color w:val="auto"/>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度</w:t>
            </w:r>
            <w:r>
              <w:rPr>
                <w:rFonts w:hint="eastAsia" w:ascii="仿宋" w:hAnsi="仿宋" w:eastAsia="仿宋" w:cs="仿宋"/>
                <w:color w:val="auto"/>
                <w:sz w:val="24"/>
                <w:szCs w:val="24"/>
                <w:lang w:val="en-US" w:eastAsia="zh-CN"/>
              </w:rPr>
              <w:t>08</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5.293</w:t>
            </w:r>
            <w:r>
              <w:rPr>
                <w:rFonts w:hint="eastAsia" w:ascii="仿宋" w:hAnsi="仿宋" w:eastAsia="仿宋" w:cs="仿宋"/>
                <w:color w:val="auto"/>
                <w:sz w:val="24"/>
                <w:szCs w:val="24"/>
              </w:rPr>
              <w:t>秒，3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度</w:t>
            </w:r>
            <w:r>
              <w:rPr>
                <w:rFonts w:hint="eastAsia" w:ascii="仿宋" w:hAnsi="仿宋" w:eastAsia="仿宋" w:cs="仿宋"/>
                <w:color w:val="auto"/>
                <w:sz w:val="24"/>
                <w:szCs w:val="24"/>
                <w:lang w:val="en-US" w:eastAsia="zh-CN"/>
              </w:rPr>
              <w:t>43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21.770</w:t>
            </w:r>
            <w:r>
              <w:rPr>
                <w:rFonts w:hint="eastAsia" w:ascii="仿宋" w:hAnsi="仿宋" w:eastAsia="仿宋" w:cs="仿宋"/>
                <w:color w:val="auto"/>
                <w:sz w:val="24"/>
                <w:szCs w:val="24"/>
              </w:rPr>
              <w:t>秒）</w:t>
            </w:r>
          </w:p>
        </w:tc>
      </w:tr>
      <w:tr w14:paraId="288AE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1" w:hRule="atLeast"/>
          <w:jc w:val="center"/>
        </w:trPr>
        <w:tc>
          <w:tcPr>
            <w:tcW w:w="1352" w:type="dxa"/>
            <w:tcMar>
              <w:top w:w="16" w:type="dxa"/>
              <w:left w:w="16" w:type="dxa"/>
              <w:right w:w="16" w:type="dxa"/>
            </w:tcMar>
            <w:vAlign w:val="center"/>
          </w:tcPr>
          <w:p w14:paraId="3FC8A5BC">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国民经济行业类别</w:t>
            </w:r>
          </w:p>
        </w:tc>
        <w:tc>
          <w:tcPr>
            <w:tcW w:w="1932" w:type="dxa"/>
            <w:vAlign w:val="center"/>
          </w:tcPr>
          <w:p w14:paraId="4FAD29FB">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N7723固体废物治理</w:t>
            </w:r>
          </w:p>
        </w:tc>
        <w:tc>
          <w:tcPr>
            <w:tcW w:w="1610" w:type="dxa"/>
            <w:vAlign w:val="center"/>
          </w:tcPr>
          <w:p w14:paraId="78633DED">
            <w:pPr>
              <w:adjustRightInd w:val="0"/>
              <w:snapToGrid w:val="0"/>
              <w:jc w:val="center"/>
              <w:rPr>
                <w:rFonts w:hint="eastAsia" w:ascii="仿宋" w:hAnsi="仿宋" w:eastAsia="仿宋" w:cs="仿宋"/>
                <w:color w:val="auto"/>
                <w:sz w:val="24"/>
                <w:szCs w:val="24"/>
                <w:highlight w:val="none"/>
                <w:lang w:val="en-US" w:eastAsia="zh-CN"/>
              </w:rPr>
            </w:pPr>
            <w:bookmarkStart w:id="2" w:name="_Hlk49843745"/>
            <w:r>
              <w:rPr>
                <w:rFonts w:hint="eastAsia" w:ascii="仿宋" w:hAnsi="仿宋" w:eastAsia="仿宋" w:cs="仿宋"/>
                <w:color w:val="auto"/>
                <w:sz w:val="24"/>
                <w:szCs w:val="24"/>
                <w:highlight w:val="none"/>
                <w:lang w:val="en-US" w:eastAsia="zh-CN"/>
              </w:rPr>
              <w:t>建设项目</w:t>
            </w:r>
          </w:p>
          <w:p w14:paraId="459127FA">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行业类别</w:t>
            </w:r>
            <w:bookmarkEnd w:id="2"/>
          </w:p>
        </w:tc>
        <w:tc>
          <w:tcPr>
            <w:tcW w:w="3994" w:type="dxa"/>
            <w:vAlign w:val="center"/>
          </w:tcPr>
          <w:p w14:paraId="4C23FAA7">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四十七、生态保护和环境治理业103一般工业固体废物(含污水处理污泥)、建筑施工废弃物处置及综合利用</w:t>
            </w:r>
          </w:p>
        </w:tc>
      </w:tr>
      <w:tr w14:paraId="3CE69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219" w:hRule="atLeast"/>
          <w:jc w:val="center"/>
        </w:trPr>
        <w:tc>
          <w:tcPr>
            <w:tcW w:w="1352" w:type="dxa"/>
            <w:tcMar>
              <w:top w:w="16" w:type="dxa"/>
              <w:left w:w="16" w:type="dxa"/>
              <w:right w:w="16" w:type="dxa"/>
            </w:tcMar>
            <w:vAlign w:val="center"/>
          </w:tcPr>
          <w:p w14:paraId="3A8A3F1B">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建设性质</w:t>
            </w:r>
          </w:p>
        </w:tc>
        <w:tc>
          <w:tcPr>
            <w:tcW w:w="1932" w:type="dxa"/>
            <w:vAlign w:val="center"/>
          </w:tcPr>
          <w:p w14:paraId="7AF0E741">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新建（迁建）</w:t>
            </w:r>
          </w:p>
          <w:p w14:paraId="2141E7D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改建</w:t>
            </w:r>
          </w:p>
          <w:p w14:paraId="69CB67BC">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扩建</w:t>
            </w:r>
          </w:p>
          <w:p w14:paraId="30B55BE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技术改造</w:t>
            </w:r>
          </w:p>
        </w:tc>
        <w:tc>
          <w:tcPr>
            <w:tcW w:w="1610" w:type="dxa"/>
            <w:vAlign w:val="center"/>
          </w:tcPr>
          <w:p w14:paraId="1A33404D">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建设项目</w:t>
            </w:r>
          </w:p>
          <w:p w14:paraId="1212253C">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申报情形</w:t>
            </w:r>
          </w:p>
        </w:tc>
        <w:tc>
          <w:tcPr>
            <w:tcW w:w="3994" w:type="dxa"/>
            <w:vAlign w:val="center"/>
          </w:tcPr>
          <w:p w14:paraId="617E18E3">
            <w:pPr>
              <w:jc w:val="left"/>
              <w:rPr>
                <w:rFonts w:hint="eastAsia" w:ascii="仿宋" w:hAnsi="仿宋" w:eastAsia="仿宋" w:cs="仿宋"/>
                <w:color w:val="auto"/>
                <w:sz w:val="24"/>
                <w:szCs w:val="24"/>
              </w:rPr>
            </w:pPr>
            <w:r>
              <w:rPr>
                <w:rFonts w:hint="eastAsia" w:ascii="仿宋" w:hAnsi="仿宋" w:eastAsia="仿宋" w:cs="仿宋"/>
                <w:color w:val="auto"/>
                <w:sz w:val="24"/>
                <w:szCs w:val="24"/>
              </w:rPr>
              <w:sym w:font="Wingdings" w:char="00FE"/>
            </w:r>
            <w:r>
              <w:rPr>
                <w:rFonts w:hint="eastAsia" w:ascii="仿宋" w:hAnsi="仿宋" w:eastAsia="仿宋" w:cs="仿宋"/>
                <w:color w:val="auto"/>
                <w:sz w:val="24"/>
                <w:szCs w:val="24"/>
              </w:rPr>
              <w:t>首次申报项目</w:t>
            </w:r>
          </w:p>
          <w:p w14:paraId="16F3F301">
            <w:pPr>
              <w:jc w:val="left"/>
              <w:rPr>
                <w:rFonts w:hint="eastAsia" w:ascii="仿宋" w:hAnsi="仿宋" w:eastAsia="仿宋" w:cs="仿宋"/>
                <w:color w:val="auto"/>
                <w:sz w:val="24"/>
                <w:szCs w:val="24"/>
              </w:rPr>
            </w:pP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不予批准后再次申报项目</w:t>
            </w:r>
          </w:p>
          <w:p w14:paraId="2812EBC3">
            <w:pPr>
              <w:jc w:val="left"/>
              <w:rPr>
                <w:rFonts w:hint="eastAsia" w:ascii="仿宋" w:hAnsi="仿宋" w:eastAsia="仿宋" w:cs="仿宋"/>
                <w:color w:val="auto"/>
                <w:sz w:val="24"/>
                <w:szCs w:val="24"/>
              </w:rPr>
            </w:pP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超五年重新审核项目</w:t>
            </w:r>
          </w:p>
          <w:p w14:paraId="112EF969">
            <w:pPr>
              <w:jc w:val="left"/>
              <w:rPr>
                <w:rFonts w:hint="eastAsia" w:ascii="仿宋" w:hAnsi="仿宋" w:eastAsia="仿宋" w:cs="仿宋"/>
                <w:color w:val="auto"/>
                <w:sz w:val="24"/>
                <w:szCs w:val="24"/>
              </w:rPr>
            </w:pP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重大变动重新报批项目</w:t>
            </w:r>
          </w:p>
        </w:tc>
      </w:tr>
      <w:tr w14:paraId="58772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09" w:hRule="atLeast"/>
          <w:jc w:val="center"/>
        </w:trPr>
        <w:tc>
          <w:tcPr>
            <w:tcW w:w="1352" w:type="dxa"/>
            <w:tcMar>
              <w:top w:w="16" w:type="dxa"/>
              <w:left w:w="16" w:type="dxa"/>
              <w:right w:w="16" w:type="dxa"/>
            </w:tcMar>
            <w:vAlign w:val="center"/>
          </w:tcPr>
          <w:p w14:paraId="4F2E9AE2">
            <w:pPr>
              <w:adjustRightInd w:val="0"/>
              <w:snapToGrid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项目审批（核准/备案）部门（选填）</w:t>
            </w:r>
          </w:p>
        </w:tc>
        <w:tc>
          <w:tcPr>
            <w:tcW w:w="1932" w:type="dxa"/>
            <w:vAlign w:val="center"/>
          </w:tcPr>
          <w:p w14:paraId="1BD8393D">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淮南市大通区发展和改革委员会</w:t>
            </w:r>
          </w:p>
        </w:tc>
        <w:tc>
          <w:tcPr>
            <w:tcW w:w="1610" w:type="dxa"/>
            <w:vAlign w:val="center"/>
          </w:tcPr>
          <w:p w14:paraId="2CEA938C">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项目审批（核准/备案）文号（选填）</w:t>
            </w:r>
          </w:p>
        </w:tc>
        <w:tc>
          <w:tcPr>
            <w:tcW w:w="3994" w:type="dxa"/>
            <w:vAlign w:val="center"/>
          </w:tcPr>
          <w:p w14:paraId="6685E470">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r>
      <w:tr w14:paraId="602FB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352" w:type="dxa"/>
            <w:tcMar>
              <w:top w:w="16" w:type="dxa"/>
              <w:left w:w="16" w:type="dxa"/>
              <w:right w:w="16" w:type="dxa"/>
            </w:tcMar>
            <w:vAlign w:val="center"/>
          </w:tcPr>
          <w:p w14:paraId="57FC288C">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总投资（万元）</w:t>
            </w:r>
          </w:p>
        </w:tc>
        <w:tc>
          <w:tcPr>
            <w:tcW w:w="1932" w:type="dxa"/>
            <w:vAlign w:val="center"/>
          </w:tcPr>
          <w:p w14:paraId="40373997">
            <w:pPr>
              <w:adjustRightInd w:val="0"/>
              <w:snapToGrid w:val="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6000</w:t>
            </w:r>
          </w:p>
        </w:tc>
        <w:tc>
          <w:tcPr>
            <w:tcW w:w="1610" w:type="dxa"/>
            <w:tcMar>
              <w:top w:w="16" w:type="dxa"/>
              <w:left w:w="16" w:type="dxa"/>
              <w:right w:w="16" w:type="dxa"/>
            </w:tcMar>
            <w:vAlign w:val="center"/>
          </w:tcPr>
          <w:p w14:paraId="054122F8">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环保投资（万元）</w:t>
            </w:r>
          </w:p>
        </w:tc>
        <w:tc>
          <w:tcPr>
            <w:tcW w:w="3994" w:type="dxa"/>
            <w:vAlign w:val="center"/>
          </w:tcPr>
          <w:p w14:paraId="2EC42762">
            <w:pPr>
              <w:adjustRightInd w:val="0"/>
              <w:snapToGrid w:val="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55</w:t>
            </w:r>
          </w:p>
        </w:tc>
      </w:tr>
      <w:tr w14:paraId="1E024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352" w:type="dxa"/>
            <w:tcMar>
              <w:top w:w="16" w:type="dxa"/>
              <w:left w:w="16" w:type="dxa"/>
              <w:right w:w="16" w:type="dxa"/>
            </w:tcMar>
            <w:vAlign w:val="center"/>
          </w:tcPr>
          <w:p w14:paraId="01573C26">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环保投资占比（%）</w:t>
            </w:r>
          </w:p>
        </w:tc>
        <w:tc>
          <w:tcPr>
            <w:tcW w:w="1932" w:type="dxa"/>
            <w:vAlign w:val="center"/>
          </w:tcPr>
          <w:p w14:paraId="1F645B6B">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0.92%</w:t>
            </w:r>
          </w:p>
        </w:tc>
        <w:tc>
          <w:tcPr>
            <w:tcW w:w="1610" w:type="dxa"/>
            <w:tcMar>
              <w:top w:w="16" w:type="dxa"/>
              <w:left w:w="16" w:type="dxa"/>
              <w:right w:w="16" w:type="dxa"/>
            </w:tcMar>
            <w:vAlign w:val="center"/>
          </w:tcPr>
          <w:p w14:paraId="583D953C">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施工工期</w:t>
            </w:r>
          </w:p>
        </w:tc>
        <w:tc>
          <w:tcPr>
            <w:tcW w:w="3994" w:type="dxa"/>
            <w:vAlign w:val="center"/>
          </w:tcPr>
          <w:p w14:paraId="4E4663E3">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3个月</w:t>
            </w:r>
          </w:p>
        </w:tc>
      </w:tr>
      <w:tr w14:paraId="47E5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352" w:type="dxa"/>
            <w:tcMar>
              <w:top w:w="16" w:type="dxa"/>
              <w:left w:w="16" w:type="dxa"/>
              <w:right w:w="16" w:type="dxa"/>
            </w:tcMar>
            <w:vAlign w:val="center"/>
          </w:tcPr>
          <w:p w14:paraId="2BE225EB">
            <w:pPr>
              <w:adjustRightInd w:val="0"/>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是否开工建设</w:t>
            </w:r>
          </w:p>
        </w:tc>
        <w:tc>
          <w:tcPr>
            <w:tcW w:w="1932" w:type="dxa"/>
            <w:vAlign w:val="center"/>
          </w:tcPr>
          <w:p w14:paraId="7BEBD75C">
            <w:pPr>
              <w:adjustRightInd w:val="0"/>
              <w:snapToGrid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否</w:t>
            </w:r>
            <w:r>
              <w:rPr>
                <w:rFonts w:hint="eastAsia" w:ascii="仿宋" w:hAnsi="仿宋" w:eastAsia="仿宋" w:cs="仿宋"/>
                <w:color w:val="auto"/>
                <w:sz w:val="24"/>
                <w:szCs w:val="24"/>
                <w:highlight w:val="none"/>
                <w:lang w:eastAsia="zh-CN"/>
              </w:rPr>
              <w:t>：</w:t>
            </w:r>
          </w:p>
          <w:p w14:paraId="08191F58">
            <w:pPr>
              <w:adjustRightInd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w:t>
            </w:r>
          </w:p>
        </w:tc>
        <w:tc>
          <w:tcPr>
            <w:tcW w:w="1610" w:type="dxa"/>
            <w:tcMar>
              <w:top w:w="16" w:type="dxa"/>
              <w:left w:w="16" w:type="dxa"/>
              <w:right w:w="16" w:type="dxa"/>
            </w:tcMar>
            <w:vAlign w:val="center"/>
          </w:tcPr>
          <w:p w14:paraId="332EA0E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用地</w:t>
            </w:r>
          </w:p>
          <w:p w14:paraId="1282078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面积（m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p>
        </w:tc>
        <w:tc>
          <w:tcPr>
            <w:tcW w:w="3994" w:type="dxa"/>
            <w:vAlign w:val="center"/>
          </w:tcPr>
          <w:p w14:paraId="3FB90919">
            <w:pPr>
              <w:adjustRightInd w:val="0"/>
              <w:snapToGrid w:val="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3313.56</w:t>
            </w:r>
          </w:p>
        </w:tc>
      </w:tr>
      <w:tr w14:paraId="2217B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352" w:type="dxa"/>
            <w:vAlign w:val="center"/>
          </w:tcPr>
          <w:p w14:paraId="39E7BFFA">
            <w:pPr>
              <w:autoSpaceDE w:val="0"/>
              <w:autoSpaceDN w:val="0"/>
              <w:adjustRightInd w:val="0"/>
              <w:snapToGrid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专项评价</w:t>
            </w:r>
          </w:p>
          <w:p w14:paraId="2EA78B5D">
            <w:pPr>
              <w:autoSpaceDE w:val="0"/>
              <w:autoSpaceDN w:val="0"/>
              <w:adjustRightInd w:val="0"/>
              <w:snapToGrid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设置情况</w:t>
            </w:r>
          </w:p>
        </w:tc>
        <w:tc>
          <w:tcPr>
            <w:tcW w:w="7536" w:type="dxa"/>
            <w:gridSpan w:val="3"/>
            <w:vAlign w:val="center"/>
          </w:tcPr>
          <w:p w14:paraId="4713547B">
            <w:pPr>
              <w:autoSpaceDE w:val="0"/>
              <w:autoSpaceDN w:val="0"/>
              <w:adjustRightInd w:val="0"/>
              <w:snapToGrid w:val="0"/>
              <w:spacing w:line="24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表1-1 专项评价设置原则表</w:t>
            </w:r>
          </w:p>
          <w:tbl>
            <w:tblPr>
              <w:tblStyle w:val="32"/>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53"/>
              <w:gridCol w:w="3268"/>
              <w:gridCol w:w="2400"/>
              <w:gridCol w:w="758"/>
            </w:tblGrid>
            <w:tr w14:paraId="751E4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03" w:type="pct"/>
                  <w:tcBorders>
                    <w:tl2br w:val="nil"/>
                    <w:tr2bl w:val="nil"/>
                  </w:tcBorders>
                  <w:shd w:val="clear" w:color="auto" w:fill="auto"/>
                  <w:vAlign w:val="center"/>
                </w:tcPr>
                <w:p w14:paraId="01C9DF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专项评价的类别</w:t>
                  </w:r>
                </w:p>
              </w:tc>
              <w:tc>
                <w:tcPr>
                  <w:tcW w:w="2184" w:type="pct"/>
                  <w:tcBorders>
                    <w:tl2br w:val="nil"/>
                    <w:tr2bl w:val="nil"/>
                  </w:tcBorders>
                  <w:shd w:val="clear" w:color="auto" w:fill="auto"/>
                  <w:noWrap/>
                  <w:vAlign w:val="center"/>
                </w:tcPr>
                <w:p w14:paraId="4261BF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设置原则</w:t>
                  </w:r>
                </w:p>
              </w:tc>
              <w:tc>
                <w:tcPr>
                  <w:tcW w:w="1604" w:type="pct"/>
                  <w:tcBorders>
                    <w:tl2br w:val="nil"/>
                    <w:tr2bl w:val="nil"/>
                  </w:tcBorders>
                  <w:shd w:val="clear" w:color="auto" w:fill="auto"/>
                  <w:vAlign w:val="center"/>
                </w:tcPr>
                <w:p w14:paraId="242FE2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本项目情况</w:t>
                  </w:r>
                </w:p>
              </w:tc>
              <w:tc>
                <w:tcPr>
                  <w:tcW w:w="506" w:type="pct"/>
                  <w:tcBorders>
                    <w:tl2br w:val="nil"/>
                    <w:tr2bl w:val="nil"/>
                  </w:tcBorders>
                  <w:shd w:val="clear" w:color="auto" w:fill="auto"/>
                  <w:vAlign w:val="center"/>
                </w:tcPr>
                <w:p w14:paraId="2B08ED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设置情况</w:t>
                  </w:r>
                </w:p>
              </w:tc>
            </w:tr>
            <w:tr w14:paraId="05395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3" w:type="pct"/>
                  <w:tcBorders>
                    <w:tl2br w:val="nil"/>
                    <w:tr2bl w:val="nil"/>
                  </w:tcBorders>
                  <w:shd w:val="clear" w:color="auto" w:fill="auto"/>
                  <w:noWrap/>
                  <w:vAlign w:val="center"/>
                </w:tcPr>
                <w:p w14:paraId="07E907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大气</w:t>
                  </w:r>
                </w:p>
              </w:tc>
              <w:tc>
                <w:tcPr>
                  <w:tcW w:w="2184" w:type="pct"/>
                  <w:tcBorders>
                    <w:tl2br w:val="nil"/>
                    <w:tr2bl w:val="nil"/>
                  </w:tcBorders>
                  <w:shd w:val="clear" w:color="auto" w:fill="auto"/>
                  <w:vAlign w:val="center"/>
                </w:tcPr>
                <w:p w14:paraId="2F6C26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排放废气含有毒有害污染物、二噁英、苯并[a]芘、氰化物、氯气且厂界外500米范围内有环境空气保护目标的建设项目</w:t>
                  </w:r>
                </w:p>
              </w:tc>
              <w:tc>
                <w:tcPr>
                  <w:tcW w:w="1604" w:type="pct"/>
                  <w:tcBorders>
                    <w:tl2br w:val="nil"/>
                    <w:tr2bl w:val="nil"/>
                  </w:tcBorders>
                  <w:shd w:val="clear" w:color="auto" w:fill="auto"/>
                  <w:noWrap/>
                  <w:vAlign w:val="center"/>
                </w:tcPr>
                <w:p w14:paraId="423FF6A2">
                  <w:pPr>
                    <w:jc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kern w:val="0"/>
                      <w:sz w:val="21"/>
                      <w:szCs w:val="21"/>
                      <w:u w:val="none"/>
                      <w:lang w:val="en-US" w:eastAsia="zh-CN" w:bidi="ar"/>
                    </w:rPr>
                    <w:t>排放废气无有毒有害污染物、二噁英、苯并[a]芘、氰化物、氯气且厂界外500米范围内无环境空气保护目标的建设项目</w:t>
                  </w:r>
                </w:p>
              </w:tc>
              <w:tc>
                <w:tcPr>
                  <w:tcW w:w="506" w:type="pct"/>
                  <w:tcBorders>
                    <w:tl2br w:val="nil"/>
                    <w:tr2bl w:val="nil"/>
                  </w:tcBorders>
                  <w:shd w:val="clear" w:color="auto" w:fill="auto"/>
                  <w:noWrap/>
                  <w:vAlign w:val="center"/>
                </w:tcPr>
                <w:p w14:paraId="52DBDB52">
                  <w:pPr>
                    <w:jc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不展开</w:t>
                  </w:r>
                </w:p>
              </w:tc>
            </w:tr>
            <w:tr w14:paraId="79463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03" w:type="pct"/>
                  <w:tcBorders>
                    <w:tl2br w:val="nil"/>
                    <w:tr2bl w:val="nil"/>
                  </w:tcBorders>
                  <w:shd w:val="clear" w:color="auto" w:fill="auto"/>
                  <w:noWrap/>
                  <w:vAlign w:val="center"/>
                </w:tcPr>
                <w:p w14:paraId="5F0088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地表水</w:t>
                  </w:r>
                </w:p>
              </w:tc>
              <w:tc>
                <w:tcPr>
                  <w:tcW w:w="2184" w:type="pct"/>
                  <w:tcBorders>
                    <w:tl2br w:val="nil"/>
                    <w:tr2bl w:val="nil"/>
                  </w:tcBorders>
                  <w:shd w:val="clear" w:color="auto" w:fill="auto"/>
                  <w:vAlign w:val="center"/>
                </w:tcPr>
                <w:p w14:paraId="02BBF8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新增工业废水直排建设项目（槽罐车外送污水处理厂的除外）；新增废水直排的污水集中处理厂</w:t>
                  </w:r>
                </w:p>
              </w:tc>
              <w:tc>
                <w:tcPr>
                  <w:tcW w:w="1604" w:type="pct"/>
                  <w:tcBorders>
                    <w:tl2br w:val="nil"/>
                    <w:tr2bl w:val="nil"/>
                  </w:tcBorders>
                  <w:shd w:val="clear" w:color="auto" w:fill="auto"/>
                  <w:vAlign w:val="center"/>
                </w:tcPr>
                <w:p w14:paraId="4608CE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highlight w:val="none"/>
                      <w:u w:val="none"/>
                      <w:lang w:val="en-US" w:eastAsia="zh-CN" w:bidi="ar"/>
                    </w:rPr>
                    <w:t>本项目洗车废水、喷淋废水回用于生产，不排放，生活污水间接排放。</w:t>
                  </w:r>
                </w:p>
              </w:tc>
              <w:tc>
                <w:tcPr>
                  <w:tcW w:w="506" w:type="pct"/>
                  <w:tcBorders>
                    <w:tl2br w:val="nil"/>
                    <w:tr2bl w:val="nil"/>
                  </w:tcBorders>
                  <w:shd w:val="clear" w:color="auto" w:fill="auto"/>
                  <w:noWrap/>
                  <w:vAlign w:val="center"/>
                </w:tcPr>
                <w:p w14:paraId="0534672E">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不展开</w:t>
                  </w:r>
                </w:p>
              </w:tc>
            </w:tr>
            <w:tr w14:paraId="55C26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03" w:type="pct"/>
                  <w:tcBorders>
                    <w:tl2br w:val="nil"/>
                    <w:tr2bl w:val="nil"/>
                  </w:tcBorders>
                  <w:shd w:val="clear" w:color="auto" w:fill="auto"/>
                  <w:noWrap/>
                  <w:vAlign w:val="center"/>
                </w:tcPr>
                <w:p w14:paraId="7B3B22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环境风险</w:t>
                  </w:r>
                </w:p>
              </w:tc>
              <w:tc>
                <w:tcPr>
                  <w:tcW w:w="2184" w:type="pct"/>
                  <w:tcBorders>
                    <w:tl2br w:val="nil"/>
                    <w:tr2bl w:val="nil"/>
                  </w:tcBorders>
                  <w:shd w:val="clear" w:color="auto" w:fill="auto"/>
                  <w:vAlign w:val="center"/>
                </w:tcPr>
                <w:p w14:paraId="33E36C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有毒有害和易燃易爆危险物质存储量超过临界量的建设项目</w:t>
                  </w:r>
                </w:p>
              </w:tc>
              <w:tc>
                <w:tcPr>
                  <w:tcW w:w="1604" w:type="pct"/>
                  <w:tcBorders>
                    <w:tl2br w:val="nil"/>
                    <w:tr2bl w:val="nil"/>
                  </w:tcBorders>
                  <w:shd w:val="clear" w:color="auto" w:fill="auto"/>
                  <w:vAlign w:val="center"/>
                </w:tcPr>
                <w:p w14:paraId="3C5B32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未超过临界量</w:t>
                  </w:r>
                </w:p>
              </w:tc>
              <w:tc>
                <w:tcPr>
                  <w:tcW w:w="506" w:type="pct"/>
                  <w:tcBorders>
                    <w:tl2br w:val="nil"/>
                    <w:tr2bl w:val="nil"/>
                  </w:tcBorders>
                  <w:shd w:val="clear" w:color="auto" w:fill="auto"/>
                  <w:noWrap/>
                  <w:vAlign w:val="center"/>
                </w:tcPr>
                <w:p w14:paraId="31F72755">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不展开</w:t>
                  </w:r>
                </w:p>
              </w:tc>
            </w:tr>
            <w:tr w14:paraId="5BFD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pct"/>
                  <w:tcBorders>
                    <w:tl2br w:val="nil"/>
                    <w:tr2bl w:val="nil"/>
                  </w:tcBorders>
                  <w:shd w:val="clear" w:color="auto" w:fill="auto"/>
                  <w:noWrap/>
                  <w:vAlign w:val="center"/>
                </w:tcPr>
                <w:p w14:paraId="3FF2FB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生态</w:t>
                  </w:r>
                </w:p>
              </w:tc>
              <w:tc>
                <w:tcPr>
                  <w:tcW w:w="2184" w:type="pct"/>
                  <w:tcBorders>
                    <w:tl2br w:val="nil"/>
                    <w:tr2bl w:val="nil"/>
                  </w:tcBorders>
                  <w:shd w:val="clear" w:color="auto" w:fill="auto"/>
                  <w:vAlign w:val="center"/>
                </w:tcPr>
                <w:p w14:paraId="2B81C3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取水口下游500米范围内有重要水生生物的自然产卵场、索饵场、越冬场和洄游通道的新增河道取水的污染类建设项目</w:t>
                  </w:r>
                </w:p>
              </w:tc>
              <w:tc>
                <w:tcPr>
                  <w:tcW w:w="1604" w:type="pct"/>
                  <w:tcBorders>
                    <w:tl2br w:val="nil"/>
                    <w:tr2bl w:val="nil"/>
                  </w:tcBorders>
                  <w:shd w:val="clear" w:color="auto" w:fill="auto"/>
                  <w:noWrap/>
                  <w:vAlign w:val="center"/>
                </w:tcPr>
                <w:p w14:paraId="256441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不涉及</w:t>
                  </w:r>
                </w:p>
              </w:tc>
              <w:tc>
                <w:tcPr>
                  <w:tcW w:w="506" w:type="pct"/>
                  <w:tcBorders>
                    <w:tl2br w:val="nil"/>
                    <w:tr2bl w:val="nil"/>
                  </w:tcBorders>
                  <w:shd w:val="clear" w:color="auto" w:fill="auto"/>
                  <w:noWrap/>
                  <w:vAlign w:val="center"/>
                </w:tcPr>
                <w:p w14:paraId="2F262648">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不展开</w:t>
                  </w:r>
                </w:p>
              </w:tc>
            </w:tr>
            <w:tr w14:paraId="60837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pct"/>
                  <w:tcBorders>
                    <w:tl2br w:val="nil"/>
                    <w:tr2bl w:val="nil"/>
                  </w:tcBorders>
                  <w:shd w:val="clear" w:color="auto" w:fill="auto"/>
                  <w:noWrap/>
                  <w:vAlign w:val="center"/>
                </w:tcPr>
                <w:p w14:paraId="06C32B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海洋</w:t>
                  </w:r>
                </w:p>
              </w:tc>
              <w:tc>
                <w:tcPr>
                  <w:tcW w:w="2184" w:type="pct"/>
                  <w:tcBorders>
                    <w:tl2br w:val="nil"/>
                    <w:tr2bl w:val="nil"/>
                  </w:tcBorders>
                  <w:shd w:val="clear" w:color="auto" w:fill="auto"/>
                  <w:noWrap/>
                  <w:vAlign w:val="center"/>
                </w:tcPr>
                <w:p w14:paraId="0E7726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直接向海排放污染物的海洋工程建设项目</w:t>
                  </w:r>
                </w:p>
              </w:tc>
              <w:tc>
                <w:tcPr>
                  <w:tcW w:w="1604" w:type="pct"/>
                  <w:tcBorders>
                    <w:tl2br w:val="nil"/>
                    <w:tr2bl w:val="nil"/>
                  </w:tcBorders>
                  <w:shd w:val="clear" w:color="auto" w:fill="auto"/>
                  <w:noWrap/>
                  <w:vAlign w:val="center"/>
                </w:tcPr>
                <w:p w14:paraId="779359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不涉及</w:t>
                  </w:r>
                </w:p>
              </w:tc>
              <w:tc>
                <w:tcPr>
                  <w:tcW w:w="506" w:type="pct"/>
                  <w:tcBorders>
                    <w:tl2br w:val="nil"/>
                    <w:tr2bl w:val="nil"/>
                  </w:tcBorders>
                  <w:shd w:val="clear" w:color="auto" w:fill="auto"/>
                  <w:noWrap/>
                  <w:vAlign w:val="center"/>
                </w:tcPr>
                <w:p w14:paraId="7ADA1D10">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不展开</w:t>
                  </w:r>
                </w:p>
              </w:tc>
            </w:tr>
          </w:tbl>
          <w:p w14:paraId="2C1AF26C">
            <w:pPr>
              <w:pStyle w:val="10"/>
              <w:rPr>
                <w:rFonts w:hint="eastAsia" w:ascii="仿宋" w:hAnsi="仿宋" w:eastAsia="仿宋" w:cs="仿宋"/>
                <w:lang w:val="en-US" w:eastAsia="zh-CN"/>
              </w:rPr>
            </w:pPr>
          </w:p>
        </w:tc>
      </w:tr>
      <w:tr w14:paraId="2BE8F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408" w:hRule="atLeast"/>
          <w:jc w:val="center"/>
        </w:trPr>
        <w:tc>
          <w:tcPr>
            <w:tcW w:w="1352" w:type="dxa"/>
            <w:vAlign w:val="center"/>
          </w:tcPr>
          <w:p w14:paraId="5BF49CAA">
            <w:pPr>
              <w:autoSpaceDE w:val="0"/>
              <w:autoSpaceDN w:val="0"/>
              <w:adjustRightInd w:val="0"/>
              <w:snapToGrid w:val="0"/>
              <w:spacing w:line="24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规划情况</w:t>
            </w:r>
          </w:p>
        </w:tc>
        <w:tc>
          <w:tcPr>
            <w:tcW w:w="7536" w:type="dxa"/>
            <w:gridSpan w:val="3"/>
            <w:vAlign w:val="center"/>
          </w:tcPr>
          <w:p w14:paraId="3DA70DE5">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规划名称：《上窑工业聚集区控制性详细规划》</w:t>
            </w:r>
          </w:p>
          <w:p w14:paraId="181AF156">
            <w:pPr>
              <w:autoSpaceDE w:val="0"/>
              <w:autoSpaceDN w:val="0"/>
              <w:adjustRightInd w:val="0"/>
              <w:spacing w:line="360" w:lineRule="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审批部门：</w:t>
            </w:r>
            <w:r>
              <w:rPr>
                <w:rFonts w:hint="eastAsia" w:ascii="仿宋" w:hAnsi="仿宋" w:eastAsia="仿宋" w:cs="仿宋"/>
                <w:color w:val="auto"/>
                <w:kern w:val="0"/>
                <w:sz w:val="24"/>
                <w:lang w:val="en-US" w:eastAsia="zh-CN"/>
              </w:rPr>
              <w:t>淮南市人民政府</w:t>
            </w:r>
          </w:p>
          <w:p w14:paraId="6545F87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lang w:val="en-US" w:eastAsia="zh-CN"/>
              </w:rPr>
            </w:pPr>
            <w:r>
              <w:rPr>
                <w:rFonts w:hint="eastAsia" w:ascii="仿宋" w:hAnsi="仿宋" w:eastAsia="仿宋" w:cs="仿宋"/>
                <w:color w:val="auto"/>
                <w:kern w:val="0"/>
                <w:sz w:val="24"/>
              </w:rPr>
              <w:t>审批文号：淮府秘〔2017〕128号</w:t>
            </w:r>
          </w:p>
        </w:tc>
      </w:tr>
      <w:tr w14:paraId="63F79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0" w:hRule="atLeast"/>
          <w:jc w:val="center"/>
        </w:trPr>
        <w:tc>
          <w:tcPr>
            <w:tcW w:w="1352" w:type="dxa"/>
            <w:vAlign w:val="center"/>
          </w:tcPr>
          <w:p w14:paraId="2EF5B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规划环境影响评价情况</w:t>
            </w:r>
          </w:p>
        </w:tc>
        <w:tc>
          <w:tcPr>
            <w:tcW w:w="7536" w:type="dxa"/>
            <w:gridSpan w:val="3"/>
            <w:vAlign w:val="center"/>
          </w:tcPr>
          <w:p w14:paraId="3523C07C">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规划环境影响评价名称：</w:t>
            </w:r>
            <w:r>
              <w:rPr>
                <w:rFonts w:hint="eastAsia" w:ascii="仿宋" w:hAnsi="仿宋" w:eastAsia="仿宋" w:cs="仿宋"/>
                <w:color w:val="auto"/>
                <w:sz w:val="24"/>
              </w:rPr>
              <w:t>淮南市大通区上窑工业集聚区规划环境影响报告书</w:t>
            </w:r>
            <w:r>
              <w:rPr>
                <w:rFonts w:hint="eastAsia" w:ascii="仿宋" w:hAnsi="仿宋" w:eastAsia="仿宋" w:cs="仿宋"/>
                <w:color w:val="auto"/>
                <w:kern w:val="0"/>
                <w:sz w:val="24"/>
              </w:rPr>
              <w:t>；</w:t>
            </w:r>
          </w:p>
          <w:p w14:paraId="10F4DF60">
            <w:pPr>
              <w:autoSpaceDE w:val="0"/>
              <w:autoSpaceDN w:val="0"/>
              <w:adjustRightInd w:val="0"/>
              <w:spacing w:line="360" w:lineRule="auto"/>
              <w:rPr>
                <w:rFonts w:hint="eastAsia" w:ascii="仿宋" w:hAnsi="仿宋" w:eastAsia="仿宋" w:cs="仿宋"/>
                <w:color w:val="auto"/>
                <w:kern w:val="0"/>
                <w:sz w:val="24"/>
                <w:lang w:eastAsia="zh-CN"/>
              </w:rPr>
            </w:pPr>
            <w:r>
              <w:rPr>
                <w:rFonts w:hint="eastAsia" w:ascii="仿宋" w:hAnsi="仿宋" w:eastAsia="仿宋" w:cs="仿宋"/>
                <w:color w:val="auto"/>
                <w:kern w:val="0"/>
                <w:sz w:val="24"/>
              </w:rPr>
              <w:t>审查文件名称：关于淮南市大通区上窑工业集聚区规划环境影响报告书的审查意见</w:t>
            </w:r>
            <w:r>
              <w:rPr>
                <w:rFonts w:hint="eastAsia" w:ascii="仿宋" w:hAnsi="仿宋" w:eastAsia="仿宋" w:cs="仿宋"/>
                <w:color w:val="auto"/>
                <w:kern w:val="0"/>
                <w:sz w:val="24"/>
                <w:lang w:eastAsia="zh-CN"/>
              </w:rPr>
              <w:t>；</w:t>
            </w:r>
          </w:p>
          <w:p w14:paraId="5C5724D4">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审批部门：淮南市生态环境局（原淮南市环境保护局）</w:t>
            </w:r>
          </w:p>
          <w:p w14:paraId="6EDA16FD">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审批文号：淮环复[2011]74号</w:t>
            </w:r>
          </w:p>
          <w:p w14:paraId="6017C29F">
            <w:pPr>
              <w:autoSpaceDE w:val="0"/>
              <w:autoSpaceDN w:val="0"/>
              <w:adjustRightInd w:val="0"/>
              <w:spacing w:line="360" w:lineRule="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跟踪评价：淮南市大通区上窑工业集聚区规划环境影响跟踪评价报告书</w:t>
            </w:r>
          </w:p>
          <w:p w14:paraId="2CC57D83">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审查文件名称：关于淮南市大通区上窑工业集聚区规划环境影响跟踪评价报告书审查意见的函</w:t>
            </w:r>
          </w:p>
          <w:p w14:paraId="4A2B4B68">
            <w:pPr>
              <w:autoSpaceDE w:val="0"/>
              <w:autoSpaceDN w:val="0"/>
              <w:adjustRightIn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审批部门：淮南市生态环境局</w:t>
            </w:r>
          </w:p>
          <w:p w14:paraId="52D59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rPr>
              <w:t>审批文号：</w:t>
            </w:r>
            <w:r>
              <w:rPr>
                <w:rFonts w:hint="eastAsia" w:ascii="仿宋" w:hAnsi="仿宋" w:eastAsia="仿宋" w:cs="仿宋"/>
                <w:color w:val="auto"/>
                <w:kern w:val="0"/>
                <w:sz w:val="24"/>
                <w:lang w:val="en-US" w:eastAsia="zh-CN"/>
              </w:rPr>
              <w:t>/</w:t>
            </w:r>
          </w:p>
        </w:tc>
      </w:tr>
      <w:tr w14:paraId="09901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352" w:type="dxa"/>
            <w:vAlign w:val="center"/>
          </w:tcPr>
          <w:p w14:paraId="2009E6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规划及规划环境影响评价符合性分析</w:t>
            </w:r>
          </w:p>
        </w:tc>
        <w:tc>
          <w:tcPr>
            <w:tcW w:w="7536" w:type="dxa"/>
            <w:gridSpan w:val="3"/>
            <w:vAlign w:val="center"/>
          </w:tcPr>
          <w:p w14:paraId="335906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pacing w:val="0"/>
                <w:kern w:val="0"/>
                <w:sz w:val="24"/>
                <w:szCs w:val="24"/>
                <w:lang w:val="en-US" w:eastAsia="zh-CN" w:bidi="ar-SA"/>
              </w:rPr>
            </w:pPr>
            <w:r>
              <w:rPr>
                <w:rFonts w:hint="eastAsia" w:ascii="仿宋" w:hAnsi="仿宋" w:eastAsia="仿宋" w:cs="仿宋"/>
                <w:b/>
                <w:bCs/>
                <w:color w:val="auto"/>
                <w:spacing w:val="0"/>
                <w:kern w:val="0"/>
                <w:sz w:val="24"/>
                <w:szCs w:val="24"/>
                <w:lang w:val="en-US" w:eastAsia="zh-CN" w:bidi="ar-SA"/>
              </w:rPr>
              <w:t>1、规划相符性分析</w:t>
            </w:r>
          </w:p>
          <w:p w14:paraId="22373B9F">
            <w:pPr>
              <w:autoSpaceDE w:val="0"/>
              <w:autoSpaceDN w:val="0"/>
              <w:adjustRightInd w:val="0"/>
              <w:snapToGrid w:val="0"/>
              <w:spacing w:line="360" w:lineRule="auto"/>
              <w:ind w:firstLine="480" w:firstLineChars="200"/>
              <w:rPr>
                <w:rFonts w:hint="default" w:ascii="仿宋" w:hAnsi="仿宋" w:eastAsia="仿宋" w:cs="仿宋"/>
                <w:color w:val="auto"/>
                <w:kern w:val="0"/>
                <w:sz w:val="24"/>
                <w:lang w:eastAsia="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lang w:eastAsia="zh-CN"/>
              </w:rPr>
              <w:t>）</w:t>
            </w:r>
            <w:r>
              <w:rPr>
                <w:rFonts w:hint="default" w:ascii="仿宋" w:hAnsi="仿宋" w:eastAsia="仿宋" w:cs="仿宋"/>
                <w:color w:val="auto"/>
                <w:kern w:val="0"/>
                <w:sz w:val="24"/>
                <w:lang w:eastAsia="zh-CN"/>
              </w:rPr>
              <w:t>与《淮南市大通区上窑工业集聚区控制性详细规划》相符性分析</w:t>
            </w:r>
          </w:p>
          <w:p w14:paraId="5734BC64">
            <w:pPr>
              <w:autoSpaceDE w:val="0"/>
              <w:autoSpaceDN w:val="0"/>
              <w:adjustRightInd w:val="0"/>
              <w:snapToGrid w:val="0"/>
              <w:spacing w:line="360" w:lineRule="auto"/>
              <w:ind w:firstLine="480" w:firstLineChars="200"/>
              <w:rPr>
                <w:rFonts w:hint="default" w:ascii="仿宋" w:hAnsi="仿宋" w:eastAsia="仿宋" w:cs="仿宋"/>
                <w:color w:val="auto"/>
                <w:kern w:val="0"/>
                <w:sz w:val="24"/>
                <w:lang w:eastAsia="zh-CN"/>
              </w:rPr>
            </w:pPr>
            <w:r>
              <w:rPr>
                <w:rFonts w:hint="default" w:ascii="仿宋" w:hAnsi="仿宋" w:eastAsia="仿宋" w:cs="仿宋"/>
                <w:color w:val="auto"/>
                <w:kern w:val="0"/>
                <w:sz w:val="24"/>
                <w:lang w:eastAsia="zh-CN"/>
              </w:rPr>
              <w:t>本项目选址位于淮南市大通区上窑工业集聚区，属于规划的工业用地范畴，符合淮南市大通区上窑工业集聚区控制性详细规划要求。因此，本项目建设符合淮南市大通区上窑工业集聚区控制性详细规划要求。</w:t>
            </w:r>
          </w:p>
          <w:p w14:paraId="2D8C7492">
            <w:pPr>
              <w:autoSpaceDE w:val="0"/>
              <w:autoSpaceDN w:val="0"/>
              <w:adjustRightInd w:val="0"/>
              <w:snapToGrid w:val="0"/>
              <w:spacing w:line="360" w:lineRule="auto"/>
              <w:ind w:firstLine="480" w:firstLineChars="200"/>
              <w:rPr>
                <w:rFonts w:hint="default" w:ascii="仿宋" w:hAnsi="仿宋" w:eastAsia="仿宋" w:cs="仿宋"/>
                <w:color w:val="auto"/>
                <w:kern w:val="0"/>
                <w:sz w:val="24"/>
                <w:lang w:eastAsia="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eastAsia="zh-CN"/>
              </w:rPr>
              <w:t>）</w:t>
            </w:r>
            <w:r>
              <w:rPr>
                <w:rFonts w:hint="default" w:ascii="仿宋" w:hAnsi="仿宋" w:eastAsia="仿宋" w:cs="仿宋"/>
                <w:color w:val="auto"/>
                <w:kern w:val="0"/>
                <w:sz w:val="24"/>
                <w:lang w:eastAsia="zh-CN"/>
              </w:rPr>
              <w:t>本项目与集聚区主导产业相容性分析</w:t>
            </w:r>
          </w:p>
          <w:p w14:paraId="2B37E074">
            <w:pPr>
              <w:autoSpaceDE w:val="0"/>
              <w:autoSpaceDN w:val="0"/>
              <w:adjustRightInd w:val="0"/>
              <w:snapToGrid w:val="0"/>
              <w:spacing w:line="360" w:lineRule="auto"/>
              <w:ind w:firstLine="480" w:firstLineChars="200"/>
              <w:rPr>
                <w:rFonts w:hint="default" w:ascii="仿宋" w:hAnsi="仿宋" w:eastAsia="仿宋" w:cs="仿宋"/>
                <w:color w:val="auto"/>
                <w:kern w:val="0"/>
                <w:sz w:val="24"/>
                <w:lang w:eastAsia="zh-CN"/>
              </w:rPr>
            </w:pPr>
            <w:r>
              <w:rPr>
                <w:rFonts w:hint="default" w:ascii="仿宋" w:hAnsi="仿宋" w:eastAsia="仿宋" w:cs="仿宋"/>
                <w:color w:val="auto"/>
                <w:kern w:val="0"/>
                <w:sz w:val="24"/>
                <w:lang w:eastAsia="zh-CN"/>
              </w:rPr>
              <w:t>集聚区规划主导产业为：精细化工、纺织服装、机械电子和新型材料。园区目前入住的企业包括生态保护和环境治理业、废弃资源综合利用、化学原料和化学品制造业等。拟建项目</w:t>
            </w:r>
            <w:r>
              <w:rPr>
                <w:rFonts w:hint="eastAsia" w:ascii="仿宋" w:hAnsi="仿宋" w:eastAsia="仿宋" w:cs="仿宋"/>
                <w:color w:val="auto"/>
                <w:kern w:val="0"/>
                <w:sz w:val="24"/>
                <w:lang w:eastAsia="zh-CN"/>
              </w:rPr>
              <w:t>属于</w:t>
            </w:r>
            <w:r>
              <w:rPr>
                <w:rFonts w:hint="eastAsia" w:ascii="仿宋" w:hAnsi="仿宋" w:eastAsia="仿宋" w:cs="仿宋"/>
                <w:color w:val="auto"/>
                <w:sz w:val="24"/>
                <w:szCs w:val="24"/>
                <w:highlight w:val="none"/>
                <w:lang w:val="en-US" w:eastAsia="zh-CN"/>
              </w:rPr>
              <w:t>固体废物治理</w:t>
            </w:r>
            <w:r>
              <w:rPr>
                <w:rFonts w:hint="default" w:ascii="仿宋" w:hAnsi="仿宋" w:eastAsia="仿宋" w:cs="仿宋"/>
                <w:color w:val="auto"/>
                <w:kern w:val="0"/>
                <w:sz w:val="24"/>
                <w:lang w:eastAsia="zh-CN"/>
              </w:rPr>
              <w:t>，本项目不在园区限制类和禁止类清单中，与周边项目兼容性较好。</w:t>
            </w:r>
          </w:p>
          <w:p w14:paraId="443ED866">
            <w:pPr>
              <w:autoSpaceDE w:val="0"/>
              <w:autoSpaceDN w:val="0"/>
              <w:adjustRightInd w:val="0"/>
              <w:snapToGrid w:val="0"/>
              <w:spacing w:line="360" w:lineRule="auto"/>
              <w:rPr>
                <w:rFonts w:hint="eastAsia" w:ascii="仿宋" w:hAnsi="仿宋" w:eastAsia="仿宋" w:cs="仿宋"/>
                <w:b/>
                <w:bCs/>
                <w:color w:val="auto"/>
                <w:kern w:val="0"/>
                <w:szCs w:val="21"/>
              </w:rPr>
            </w:pPr>
            <w:r>
              <w:rPr>
                <w:rFonts w:hint="eastAsia" w:ascii="仿宋" w:hAnsi="仿宋" w:eastAsia="仿宋" w:cs="仿宋"/>
                <w:b/>
                <w:bCs/>
                <w:color w:val="auto"/>
                <w:kern w:val="0"/>
                <w:sz w:val="24"/>
              </w:rPr>
              <w:t>2、与规划环评及审查意见相符性分析</w:t>
            </w:r>
          </w:p>
          <w:p w14:paraId="479619F3">
            <w:pPr>
              <w:autoSpaceDE w:val="0"/>
              <w:autoSpaceDN w:val="0"/>
              <w:adjustRightInd w:val="0"/>
              <w:snapToGrid w:val="0"/>
              <w:jc w:val="center"/>
              <w:rPr>
                <w:rFonts w:hint="eastAsia" w:ascii="仿宋" w:hAnsi="仿宋" w:eastAsia="仿宋" w:cs="仿宋"/>
                <w:color w:val="auto"/>
                <w:kern w:val="0"/>
                <w:szCs w:val="21"/>
              </w:rPr>
            </w:pPr>
            <w:r>
              <w:rPr>
                <w:rFonts w:hint="eastAsia" w:ascii="仿宋" w:hAnsi="仿宋" w:eastAsia="仿宋" w:cs="仿宋"/>
                <w:b/>
                <w:bCs/>
                <w:color w:val="auto"/>
                <w:kern w:val="0"/>
                <w:szCs w:val="21"/>
              </w:rPr>
              <w:t xml:space="preserve">表1-1 </w:t>
            </w:r>
            <w:r>
              <w:rPr>
                <w:rFonts w:hint="eastAsia" w:ascii="仿宋" w:hAnsi="仿宋" w:eastAsia="仿宋" w:cs="仿宋"/>
                <w:b/>
                <w:bCs/>
                <w:color w:val="auto"/>
                <w:kern w:val="0"/>
                <w:szCs w:val="21"/>
                <w:lang w:val="en-US" w:eastAsia="zh-CN"/>
              </w:rPr>
              <w:t xml:space="preserve"> </w:t>
            </w:r>
            <w:r>
              <w:rPr>
                <w:rFonts w:hint="eastAsia" w:ascii="仿宋" w:hAnsi="仿宋" w:eastAsia="仿宋" w:cs="仿宋"/>
                <w:b/>
                <w:bCs/>
                <w:color w:val="auto"/>
                <w:kern w:val="0"/>
                <w:szCs w:val="21"/>
              </w:rPr>
              <w:t>与《淮南市大通区上窑工业集聚区规划环境影响报告书》</w:t>
            </w:r>
            <w:r>
              <w:rPr>
                <w:rFonts w:hint="eastAsia" w:ascii="仿宋" w:hAnsi="仿宋" w:eastAsia="仿宋" w:cs="仿宋"/>
                <w:b/>
                <w:bCs/>
                <w:color w:val="auto"/>
                <w:kern w:val="0"/>
                <w:szCs w:val="21"/>
                <w:lang w:val="en-US" w:eastAsia="zh-CN"/>
              </w:rPr>
              <w:t>以及审查意见</w:t>
            </w:r>
            <w:r>
              <w:rPr>
                <w:rFonts w:hint="eastAsia" w:ascii="仿宋" w:hAnsi="仿宋" w:eastAsia="仿宋" w:cs="仿宋"/>
                <w:b/>
                <w:bCs/>
                <w:color w:val="auto"/>
                <w:kern w:val="0"/>
                <w:szCs w:val="21"/>
              </w:rPr>
              <w:t>的相符性分析表</w:t>
            </w:r>
          </w:p>
          <w:tbl>
            <w:tblPr>
              <w:tblStyle w:val="33"/>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545"/>
              <w:gridCol w:w="3347"/>
              <w:gridCol w:w="910"/>
            </w:tblGrid>
            <w:tr w14:paraId="157F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12" w:space="0"/>
                    <w:left w:val="nil"/>
                  </w:tcBorders>
                  <w:vAlign w:val="center"/>
                </w:tcPr>
                <w:p w14:paraId="56A363A9">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序号</w:t>
                  </w:r>
                </w:p>
              </w:tc>
              <w:tc>
                <w:tcPr>
                  <w:tcW w:w="1717" w:type="pct"/>
                  <w:tcBorders>
                    <w:top w:val="single" w:color="auto" w:sz="12" w:space="0"/>
                  </w:tcBorders>
                  <w:vAlign w:val="center"/>
                </w:tcPr>
                <w:p w14:paraId="4B8D3F44">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kern w:val="0"/>
                      <w:szCs w:val="21"/>
                    </w:rPr>
                    <w:t>《淮南市大通区上窑工业集聚区规划环境影响报告书》</w:t>
                  </w:r>
                  <w:r>
                    <w:rPr>
                      <w:rFonts w:hint="eastAsia" w:ascii="仿宋" w:hAnsi="仿宋" w:eastAsia="仿宋" w:cs="仿宋"/>
                      <w:b/>
                      <w:bCs/>
                      <w:color w:val="auto"/>
                      <w:kern w:val="0"/>
                      <w:szCs w:val="21"/>
                      <w:lang w:val="en-US" w:eastAsia="zh-CN"/>
                    </w:rPr>
                    <w:t>以及审查意见</w:t>
                  </w:r>
                </w:p>
              </w:tc>
              <w:tc>
                <w:tcPr>
                  <w:tcW w:w="2258" w:type="pct"/>
                  <w:tcBorders>
                    <w:top w:val="single" w:color="auto" w:sz="12" w:space="0"/>
                  </w:tcBorders>
                  <w:vAlign w:val="center"/>
                </w:tcPr>
                <w:p w14:paraId="1DA8CDB9">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本项目建设情况</w:t>
                  </w:r>
                </w:p>
              </w:tc>
              <w:tc>
                <w:tcPr>
                  <w:tcW w:w="613" w:type="pct"/>
                  <w:tcBorders>
                    <w:top w:val="single" w:color="auto" w:sz="12" w:space="0"/>
                    <w:right w:val="nil"/>
                  </w:tcBorders>
                  <w:vAlign w:val="center"/>
                </w:tcPr>
                <w:p w14:paraId="3D1BE041">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符合性分析</w:t>
                  </w:r>
                </w:p>
              </w:tc>
            </w:tr>
            <w:tr w14:paraId="7144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tcBorders>
                  <w:vAlign w:val="center"/>
                </w:tcPr>
                <w:p w14:paraId="74D271B2">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1717" w:type="pct"/>
                  <w:vAlign w:val="center"/>
                </w:tcPr>
                <w:p w14:paraId="49B6A01D">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工业集聚区产业定位：精细化工、纺织服装、机械电子、新型材料</w:t>
                  </w:r>
                </w:p>
              </w:tc>
              <w:tc>
                <w:tcPr>
                  <w:tcW w:w="2258" w:type="pct"/>
                  <w:vAlign w:val="center"/>
                </w:tcPr>
                <w:p w14:paraId="4C48AFCF">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本项目</w:t>
                  </w:r>
                  <w:r>
                    <w:rPr>
                      <w:rFonts w:hint="eastAsia" w:ascii="仿宋" w:hAnsi="仿宋" w:eastAsia="仿宋" w:cs="仿宋"/>
                      <w:color w:val="auto"/>
                      <w:szCs w:val="21"/>
                      <w:lang w:eastAsia="zh-CN"/>
                    </w:rPr>
                    <w:t>为</w:t>
                  </w:r>
                  <w:r>
                    <w:rPr>
                      <w:rFonts w:hint="eastAsia" w:ascii="仿宋" w:hAnsi="仿宋" w:eastAsia="仿宋" w:cs="仿宋"/>
                      <w:color w:val="auto"/>
                      <w:szCs w:val="21"/>
                      <w:lang w:val="en-US" w:eastAsia="zh-CN"/>
                    </w:rPr>
                    <w:t>固体废物治理</w:t>
                  </w:r>
                  <w:r>
                    <w:rPr>
                      <w:rFonts w:hint="eastAsia" w:ascii="仿宋" w:hAnsi="仿宋" w:eastAsia="仿宋" w:cs="仿宋"/>
                      <w:color w:val="auto"/>
                      <w:szCs w:val="21"/>
                    </w:rPr>
                    <w:t>，不属于主导产业，亦不属于禁止类和限制类，属于允许类。</w:t>
                  </w:r>
                </w:p>
              </w:tc>
              <w:tc>
                <w:tcPr>
                  <w:tcW w:w="613" w:type="pct"/>
                  <w:tcBorders>
                    <w:right w:val="nil"/>
                  </w:tcBorders>
                  <w:vAlign w:val="center"/>
                </w:tcPr>
                <w:p w14:paraId="395ABC38">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56CB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tcBorders>
                  <w:vAlign w:val="center"/>
                </w:tcPr>
                <w:p w14:paraId="1E74B76C">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1717" w:type="pct"/>
                  <w:vAlign w:val="center"/>
                </w:tcPr>
                <w:p w14:paraId="6CF874DA">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提高入区项目技术含量，采用先进的清洁生产工艺和设备。不符合国家产业政策、环保政策、集聚区主导产业的项目不得入区，严格控制高污染、高耗能、高水耗的项目入区</w:t>
                  </w:r>
                </w:p>
              </w:tc>
              <w:tc>
                <w:tcPr>
                  <w:tcW w:w="2258" w:type="pct"/>
                  <w:vAlign w:val="center"/>
                </w:tcPr>
                <w:p w14:paraId="41489F79">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rPr>
                    <w:t>本项目生产工艺先进，污染治理措施处于先进、可靠水平；项目符合“产业结构</w:t>
                  </w:r>
                  <w:r>
                    <w:rPr>
                      <w:rFonts w:hint="eastAsia" w:ascii="仿宋" w:hAnsi="仿宋" w:eastAsia="仿宋" w:cs="仿宋"/>
                      <w:color w:val="auto"/>
                      <w:sz w:val="21"/>
                      <w:szCs w:val="21"/>
                      <w:lang w:eastAsia="zh-CN"/>
                    </w:rPr>
                    <w:t>调整</w:t>
                  </w:r>
                  <w:r>
                    <w:rPr>
                      <w:rFonts w:hint="eastAsia" w:ascii="仿宋" w:hAnsi="仿宋" w:eastAsia="仿宋" w:cs="仿宋"/>
                      <w:color w:val="auto"/>
                      <w:sz w:val="21"/>
                      <w:szCs w:val="21"/>
                    </w:rPr>
                    <w:t>指导目录”的相关要求，满足国家产业政策及环保政策要求；</w:t>
                  </w:r>
                  <w:r>
                    <w:rPr>
                      <w:rFonts w:hint="eastAsia" w:ascii="仿宋" w:hAnsi="仿宋" w:eastAsia="仿宋" w:cs="仿宋"/>
                      <w:color w:val="auto"/>
                      <w:sz w:val="21"/>
                      <w:szCs w:val="21"/>
                      <w:highlight w:val="none"/>
                    </w:rPr>
                    <w:t>本项目厂内</w:t>
                  </w:r>
                  <w:r>
                    <w:rPr>
                      <w:rFonts w:hint="eastAsia" w:ascii="仿宋" w:hAnsi="仿宋" w:eastAsia="仿宋" w:cs="仿宋"/>
                      <w:color w:val="auto"/>
                      <w:sz w:val="21"/>
                      <w:szCs w:val="21"/>
                      <w:highlight w:val="none"/>
                      <w:lang w:eastAsia="zh-CN"/>
                    </w:rPr>
                    <w:t>喷淋废水、</w:t>
                  </w:r>
                  <w:r>
                    <w:rPr>
                      <w:rFonts w:hint="eastAsia" w:ascii="仿宋" w:hAnsi="仿宋" w:eastAsia="仿宋" w:cs="仿宋"/>
                      <w:color w:val="auto"/>
                      <w:sz w:val="21"/>
                      <w:szCs w:val="21"/>
                      <w:highlight w:val="none"/>
                      <w:lang w:val="en-US" w:eastAsia="zh-CN"/>
                    </w:rPr>
                    <w:t>洗车废水回用于生产</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不</w:t>
                  </w:r>
                  <w:r>
                    <w:rPr>
                      <w:rFonts w:hint="eastAsia" w:ascii="仿宋" w:hAnsi="仿宋" w:eastAsia="仿宋" w:cs="仿宋"/>
                      <w:color w:val="auto"/>
                      <w:sz w:val="21"/>
                      <w:szCs w:val="21"/>
                      <w:highlight w:val="none"/>
                    </w:rPr>
                    <w:t>属于</w:t>
                  </w:r>
                  <w:r>
                    <w:rPr>
                      <w:rFonts w:hint="eastAsia" w:ascii="仿宋" w:hAnsi="仿宋" w:eastAsia="仿宋" w:cs="仿宋"/>
                      <w:color w:val="auto"/>
                      <w:sz w:val="21"/>
                      <w:szCs w:val="21"/>
                      <w:highlight w:val="none"/>
                      <w:lang w:eastAsia="zh-CN"/>
                    </w:rPr>
                    <w:t>高</w:t>
                  </w:r>
                  <w:r>
                    <w:rPr>
                      <w:rFonts w:hint="eastAsia" w:ascii="仿宋" w:hAnsi="仿宋" w:eastAsia="仿宋" w:cs="仿宋"/>
                      <w:color w:val="auto"/>
                      <w:sz w:val="21"/>
                      <w:szCs w:val="21"/>
                      <w:highlight w:val="none"/>
                    </w:rPr>
                    <w:t>污染、</w:t>
                  </w:r>
                  <w:r>
                    <w:rPr>
                      <w:rFonts w:hint="eastAsia" w:ascii="仿宋" w:hAnsi="仿宋" w:eastAsia="仿宋" w:cs="仿宋"/>
                      <w:color w:val="auto"/>
                      <w:sz w:val="21"/>
                      <w:szCs w:val="21"/>
                      <w:highlight w:val="none"/>
                      <w:lang w:eastAsia="zh-CN"/>
                    </w:rPr>
                    <w:t>高</w:t>
                  </w:r>
                  <w:r>
                    <w:rPr>
                      <w:rFonts w:hint="eastAsia" w:ascii="仿宋" w:hAnsi="仿宋" w:eastAsia="仿宋" w:cs="仿宋"/>
                      <w:color w:val="auto"/>
                      <w:sz w:val="21"/>
                      <w:szCs w:val="21"/>
                      <w:highlight w:val="none"/>
                    </w:rPr>
                    <w:t>能耗和</w:t>
                  </w:r>
                  <w:r>
                    <w:rPr>
                      <w:rFonts w:hint="eastAsia" w:ascii="仿宋" w:hAnsi="仿宋" w:eastAsia="仿宋" w:cs="仿宋"/>
                      <w:color w:val="auto"/>
                      <w:sz w:val="21"/>
                      <w:szCs w:val="21"/>
                      <w:highlight w:val="none"/>
                      <w:lang w:eastAsia="zh-CN"/>
                    </w:rPr>
                    <w:t>高</w:t>
                  </w:r>
                  <w:r>
                    <w:rPr>
                      <w:rFonts w:hint="eastAsia" w:ascii="仿宋" w:hAnsi="仿宋" w:eastAsia="仿宋" w:cs="仿宋"/>
                      <w:color w:val="auto"/>
                      <w:sz w:val="21"/>
                      <w:szCs w:val="21"/>
                      <w:highlight w:val="none"/>
                    </w:rPr>
                    <w:t>水耗的企业</w:t>
                  </w:r>
                </w:p>
              </w:tc>
              <w:tc>
                <w:tcPr>
                  <w:tcW w:w="613" w:type="pct"/>
                  <w:tcBorders>
                    <w:right w:val="nil"/>
                  </w:tcBorders>
                  <w:vAlign w:val="center"/>
                </w:tcPr>
                <w:p w14:paraId="79C89FF8">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7716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tcBorders>
                  <w:vAlign w:val="center"/>
                </w:tcPr>
                <w:p w14:paraId="6203E770">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1717" w:type="pct"/>
                  <w:vAlign w:val="center"/>
                </w:tcPr>
                <w:p w14:paraId="06DE9FF2">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排水采取雨水分流制。上窑镇污水处理厂建成前，各入驻企业污水自行处理达到《污水综合排放标准》（GB8978-1996）一级标准要求</w:t>
                  </w:r>
                </w:p>
              </w:tc>
              <w:tc>
                <w:tcPr>
                  <w:tcW w:w="2258" w:type="pct"/>
                  <w:vAlign w:val="center"/>
                </w:tcPr>
                <w:p w14:paraId="06B52335">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highlight w:val="none"/>
                      <w:vertAlign w:val="baseline"/>
                      <w:lang w:val="en-US" w:eastAsia="zh-CN"/>
                    </w:rPr>
                    <w:t>目前上窑工业集聚区污水处理厂已建成，采用调节沉淀+SBR反应器+消毒池处理工艺，总设计污水处理能力3000m³/d。本项目采取雨污分流，厂内</w:t>
                  </w:r>
                  <w:r>
                    <w:rPr>
                      <w:rFonts w:hint="eastAsia" w:ascii="仿宋" w:hAnsi="仿宋" w:eastAsia="仿宋" w:cs="仿宋"/>
                      <w:color w:val="auto"/>
                      <w:sz w:val="21"/>
                      <w:szCs w:val="21"/>
                      <w:highlight w:val="none"/>
                      <w:lang w:eastAsia="zh-CN"/>
                    </w:rPr>
                    <w:t>喷淋废水、</w:t>
                  </w:r>
                  <w:r>
                    <w:rPr>
                      <w:rFonts w:hint="eastAsia" w:ascii="仿宋" w:hAnsi="仿宋" w:eastAsia="仿宋" w:cs="仿宋"/>
                      <w:color w:val="auto"/>
                      <w:sz w:val="21"/>
                      <w:szCs w:val="21"/>
                      <w:highlight w:val="none"/>
                      <w:lang w:val="en-US" w:eastAsia="zh-CN"/>
                    </w:rPr>
                    <w:t>洗车废水</w:t>
                  </w:r>
                  <w:r>
                    <w:rPr>
                      <w:rFonts w:hint="eastAsia" w:ascii="仿宋" w:hAnsi="仿宋" w:eastAsia="仿宋" w:cs="仿宋"/>
                      <w:color w:val="auto"/>
                      <w:sz w:val="21"/>
                      <w:szCs w:val="21"/>
                      <w:highlight w:val="none"/>
                      <w:vertAlign w:val="baseline"/>
                      <w:lang w:val="en-US" w:eastAsia="zh-CN"/>
                    </w:rPr>
                    <w:t>回用于生产，不外排。生活污水经化粪池处理后达到上窑工业集聚区污水处理厂接管标准后排入上窑工业集聚区污水处理厂，出水水质达到《城镇污水处理厂污染物排放标准》（GB18918-2002）中一级A标准后排入窑河</w:t>
                  </w:r>
                </w:p>
              </w:tc>
              <w:tc>
                <w:tcPr>
                  <w:tcW w:w="613" w:type="pct"/>
                  <w:tcBorders>
                    <w:right w:val="nil"/>
                  </w:tcBorders>
                  <w:vAlign w:val="center"/>
                </w:tcPr>
                <w:p w14:paraId="5FE0343C">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5150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10" w:type="pct"/>
                  <w:tcBorders>
                    <w:left w:val="nil"/>
                  </w:tcBorders>
                  <w:vAlign w:val="center"/>
                </w:tcPr>
                <w:p w14:paraId="636E388F">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717" w:type="pct"/>
                  <w:vAlign w:val="center"/>
                </w:tcPr>
                <w:p w14:paraId="14DE6020">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按照循环经济要求，提供工业固废的综合利用率，严禁企业随意弃置</w:t>
                  </w:r>
                </w:p>
              </w:tc>
              <w:tc>
                <w:tcPr>
                  <w:tcW w:w="2258" w:type="pct"/>
                  <w:vAlign w:val="center"/>
                </w:tcPr>
                <w:p w14:paraId="2DB4A93C">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highlight w:val="none"/>
                      <w:vertAlign w:val="baseline"/>
                      <w:lang w:val="en-US" w:eastAsia="zh-CN"/>
                    </w:rPr>
                    <w:t>本项目产生的一般固体废物为生活垃圾、不可降解物、废布袋、一般废包装物。不可降解物、废布袋、一般废包装物外售处置，生活垃圾交由园区环卫部门统一清运，危险废物委托资质单位处理。</w:t>
                  </w:r>
                </w:p>
              </w:tc>
              <w:tc>
                <w:tcPr>
                  <w:tcW w:w="613" w:type="pct"/>
                  <w:tcBorders>
                    <w:right w:val="nil"/>
                  </w:tcBorders>
                  <w:vAlign w:val="center"/>
                </w:tcPr>
                <w:p w14:paraId="0B98DE1C">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1061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tcBorders>
                  <w:vAlign w:val="center"/>
                </w:tcPr>
                <w:p w14:paraId="18F8E974">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1717" w:type="pct"/>
                  <w:vAlign w:val="center"/>
                </w:tcPr>
                <w:p w14:paraId="254457A5">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注重工业区内的生态环境建设。落实《报告书》提出的生态保护措施</w:t>
                  </w:r>
                </w:p>
              </w:tc>
              <w:tc>
                <w:tcPr>
                  <w:tcW w:w="2258" w:type="pct"/>
                  <w:vAlign w:val="center"/>
                </w:tcPr>
                <w:p w14:paraId="6718ED8D">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vertAlign w:val="baseline"/>
                      <w:lang w:val="en-US" w:eastAsia="zh-CN"/>
                    </w:rPr>
                    <w:t>本项目在施工期对建设过程产生的环境影响提出了可靠、有效的防治措施；在运营期对项目生产产生的环境影响提出了可靠、有效的防治措施</w:t>
                  </w:r>
                </w:p>
              </w:tc>
              <w:tc>
                <w:tcPr>
                  <w:tcW w:w="613" w:type="pct"/>
                  <w:tcBorders>
                    <w:right w:val="nil"/>
                  </w:tcBorders>
                  <w:vAlign w:val="center"/>
                </w:tcPr>
                <w:p w14:paraId="18D1AD8A">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3F6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tcBorders>
                  <w:vAlign w:val="center"/>
                </w:tcPr>
                <w:p w14:paraId="6365364C">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6</w:t>
                  </w:r>
                </w:p>
              </w:tc>
              <w:tc>
                <w:tcPr>
                  <w:tcW w:w="1717" w:type="pct"/>
                  <w:vAlign w:val="center"/>
                </w:tcPr>
                <w:p w14:paraId="572097A3">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总量控制指标按淮南市环保局核定的主要污染物新增排放容量要求执行</w:t>
                  </w:r>
                </w:p>
              </w:tc>
              <w:tc>
                <w:tcPr>
                  <w:tcW w:w="2258" w:type="pct"/>
                  <w:vAlign w:val="center"/>
                </w:tcPr>
                <w:p w14:paraId="165EB1B2">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highlight w:val="none"/>
                      <w:vertAlign w:val="baseline"/>
                      <w:lang w:eastAsia="zh-CN"/>
                    </w:rPr>
                    <w:t>本项目有组织废气污染物主要为</w:t>
                  </w:r>
                  <w:r>
                    <w:rPr>
                      <w:rFonts w:hint="eastAsia" w:ascii="仿宋" w:hAnsi="仿宋" w:eastAsia="仿宋" w:cs="仿宋"/>
                      <w:color w:val="auto"/>
                      <w:sz w:val="21"/>
                      <w:szCs w:val="21"/>
                      <w:highlight w:val="none"/>
                      <w:vertAlign w:val="baseline"/>
                      <w:lang w:val="en-US" w:eastAsia="zh-CN"/>
                    </w:rPr>
                    <w:t>硫化氢、氨、颗粒物</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颗粒物</w:t>
                  </w:r>
                  <w:r>
                    <w:rPr>
                      <w:rFonts w:hint="eastAsia" w:ascii="仿宋" w:hAnsi="仿宋" w:eastAsia="仿宋" w:cs="仿宋"/>
                      <w:color w:val="auto"/>
                      <w:szCs w:val="21"/>
                      <w:highlight w:val="none"/>
                    </w:rPr>
                    <w:t>按淮南市环保局核定的主要污染物新增排放容量要求执行</w:t>
                  </w:r>
                  <w:r>
                    <w:rPr>
                      <w:rFonts w:hint="eastAsia" w:ascii="仿宋" w:hAnsi="仿宋" w:eastAsia="仿宋" w:cs="仿宋"/>
                      <w:color w:val="auto"/>
                      <w:sz w:val="21"/>
                      <w:szCs w:val="21"/>
                      <w:highlight w:val="none"/>
                      <w:vertAlign w:val="baseline"/>
                      <w:lang w:eastAsia="zh-CN"/>
                    </w:rPr>
                    <w:t>；项目外排废水主要为生活污水，接管至上窑工业集聚区污水处理厂，无需单独申请总量控制指标</w:t>
                  </w:r>
                </w:p>
              </w:tc>
              <w:tc>
                <w:tcPr>
                  <w:tcW w:w="613" w:type="pct"/>
                  <w:tcBorders>
                    <w:right w:val="nil"/>
                  </w:tcBorders>
                  <w:vAlign w:val="center"/>
                </w:tcPr>
                <w:p w14:paraId="4EFB5840">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0BD1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left w:val="nil"/>
                    <w:bottom w:val="single" w:color="auto" w:sz="12" w:space="0"/>
                  </w:tcBorders>
                  <w:vAlign w:val="center"/>
                </w:tcPr>
                <w:p w14:paraId="22A47230">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7</w:t>
                  </w:r>
                </w:p>
              </w:tc>
              <w:tc>
                <w:tcPr>
                  <w:tcW w:w="1717" w:type="pct"/>
                  <w:tcBorders>
                    <w:bottom w:val="single" w:color="auto" w:sz="12" w:space="0"/>
                  </w:tcBorders>
                  <w:vAlign w:val="center"/>
                </w:tcPr>
                <w:p w14:paraId="58F5E2EA">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加强环境监督管理，完善环境管理机构，落实工业集聚区环境管理目标、管理制度和监测措施</w:t>
                  </w:r>
                </w:p>
              </w:tc>
              <w:tc>
                <w:tcPr>
                  <w:tcW w:w="2258" w:type="pct"/>
                  <w:tcBorders>
                    <w:bottom w:val="single" w:color="auto" w:sz="12" w:space="0"/>
                  </w:tcBorders>
                  <w:vAlign w:val="center"/>
                </w:tcPr>
                <w:p w14:paraId="323CD039">
                  <w:pPr>
                    <w:keepNext w:val="0"/>
                    <w:keepLines w:val="0"/>
                    <w:pageBreakBefore w:val="0"/>
                    <w:widowControl w:val="0"/>
                    <w:tabs>
                      <w:tab w:val="left" w:pos="1830"/>
                    </w:tabs>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 w:val="21"/>
                      <w:szCs w:val="21"/>
                      <w:vertAlign w:val="baseline"/>
                      <w:lang w:val="en-US" w:eastAsia="zh-CN"/>
                    </w:rPr>
                    <w:t>本项目进行严格的环境管理制度，企业内部设置专人负责环境管理内容</w:t>
                  </w:r>
                </w:p>
              </w:tc>
              <w:tc>
                <w:tcPr>
                  <w:tcW w:w="613" w:type="pct"/>
                  <w:tcBorders>
                    <w:bottom w:val="single" w:color="auto" w:sz="12" w:space="0"/>
                    <w:right w:val="nil"/>
                  </w:tcBorders>
                  <w:vAlign w:val="center"/>
                </w:tcPr>
                <w:p w14:paraId="0B94F042">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bl>
          <w:p w14:paraId="6CCC548B">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3、与《淮南市大通区上窑工业集聚区规划环境影响跟踪评价报告书》</w:t>
            </w:r>
            <w:r>
              <w:rPr>
                <w:rFonts w:hint="eastAsia" w:ascii="仿宋" w:hAnsi="仿宋" w:eastAsia="仿宋" w:cs="仿宋"/>
                <w:b/>
                <w:bCs/>
                <w:color w:val="auto"/>
                <w:sz w:val="24"/>
                <w:lang w:val="en-US" w:eastAsia="zh-CN"/>
              </w:rPr>
              <w:t>及审查意见</w:t>
            </w:r>
            <w:r>
              <w:rPr>
                <w:rFonts w:hint="eastAsia" w:ascii="仿宋" w:hAnsi="仿宋" w:eastAsia="仿宋" w:cs="仿宋"/>
                <w:b/>
                <w:bCs/>
                <w:color w:val="auto"/>
                <w:sz w:val="24"/>
              </w:rPr>
              <w:t>相符性分析</w:t>
            </w:r>
          </w:p>
          <w:p w14:paraId="37101BD7">
            <w:pPr>
              <w:pStyle w:val="2"/>
              <w:spacing w:before="0" w:after="0" w:line="240" w:lineRule="auto"/>
              <w:ind w:left="0" w:firstLine="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表1-2与《淮南市大通区上窑工业集聚区规划环境影响跟踪评价报告书》</w:t>
            </w:r>
            <w:r>
              <w:rPr>
                <w:rFonts w:hint="eastAsia" w:ascii="仿宋" w:hAnsi="仿宋" w:eastAsia="仿宋" w:cs="仿宋"/>
                <w:color w:val="auto"/>
                <w:sz w:val="21"/>
                <w:szCs w:val="21"/>
                <w:lang w:val="en-US" w:eastAsia="zh-CN"/>
              </w:rPr>
              <w:t>及审查意见</w:t>
            </w:r>
            <w:r>
              <w:rPr>
                <w:rFonts w:hint="eastAsia" w:ascii="仿宋" w:hAnsi="仿宋" w:eastAsia="仿宋" w:cs="仿宋"/>
                <w:color w:val="auto"/>
                <w:sz w:val="21"/>
                <w:szCs w:val="21"/>
              </w:rPr>
              <w:t>相符性分析</w:t>
            </w:r>
            <w:r>
              <w:rPr>
                <w:rFonts w:hint="eastAsia" w:ascii="仿宋" w:hAnsi="仿宋" w:eastAsia="仿宋" w:cs="仿宋"/>
                <w:color w:val="auto"/>
                <w:sz w:val="21"/>
                <w:szCs w:val="21"/>
                <w:lang w:val="en-US" w:eastAsia="zh-CN"/>
              </w:rPr>
              <w:t>表</w:t>
            </w:r>
          </w:p>
          <w:tbl>
            <w:tblPr>
              <w:tblStyle w:val="33"/>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285"/>
              <w:gridCol w:w="2520"/>
              <w:gridCol w:w="1048"/>
            </w:tblGrid>
            <w:tr w14:paraId="61083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04497272">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序号</w:t>
                  </w:r>
                </w:p>
              </w:tc>
              <w:tc>
                <w:tcPr>
                  <w:tcW w:w="2200" w:type="pct"/>
                  <w:tcBorders>
                    <w:tl2br w:val="nil"/>
                    <w:tr2bl w:val="nil"/>
                  </w:tcBorders>
                  <w:vAlign w:val="center"/>
                </w:tcPr>
                <w:p w14:paraId="1428F1BD">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审查意见</w:t>
                  </w:r>
                </w:p>
              </w:tc>
              <w:tc>
                <w:tcPr>
                  <w:tcW w:w="1687" w:type="pct"/>
                  <w:tcBorders>
                    <w:tl2br w:val="nil"/>
                    <w:tr2bl w:val="nil"/>
                  </w:tcBorders>
                  <w:vAlign w:val="center"/>
                </w:tcPr>
                <w:p w14:paraId="3102F93C">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本项目情况</w:t>
                  </w:r>
                </w:p>
              </w:tc>
              <w:tc>
                <w:tcPr>
                  <w:tcW w:w="701" w:type="pct"/>
                  <w:tcBorders>
                    <w:tl2br w:val="nil"/>
                    <w:tr2bl w:val="nil"/>
                  </w:tcBorders>
                  <w:vAlign w:val="center"/>
                </w:tcPr>
                <w:p w14:paraId="7A3E5789">
                  <w:pPr>
                    <w:tabs>
                      <w:tab w:val="left" w:pos="1830"/>
                    </w:tabs>
                    <w:adjustRightInd w:val="0"/>
                    <w:jc w:val="center"/>
                    <w:rPr>
                      <w:rFonts w:hint="eastAsia" w:ascii="仿宋" w:hAnsi="仿宋" w:eastAsia="仿宋" w:cs="仿宋"/>
                      <w:b/>
                      <w:bCs/>
                      <w:color w:val="auto"/>
                      <w:szCs w:val="21"/>
                    </w:rPr>
                  </w:pPr>
                  <w:r>
                    <w:rPr>
                      <w:rFonts w:hint="eastAsia" w:ascii="仿宋" w:hAnsi="仿宋" w:eastAsia="仿宋" w:cs="仿宋"/>
                      <w:b/>
                      <w:bCs/>
                      <w:color w:val="auto"/>
                      <w:szCs w:val="21"/>
                    </w:rPr>
                    <w:t>符合性分析</w:t>
                  </w:r>
                </w:p>
              </w:tc>
            </w:tr>
            <w:tr w14:paraId="24C10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20110C4D">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2200" w:type="pct"/>
                  <w:tcBorders>
                    <w:tl2br w:val="nil"/>
                    <w:tr2bl w:val="nil"/>
                  </w:tcBorders>
                  <w:vAlign w:val="center"/>
                </w:tcPr>
                <w:p w14:paraId="2DD7737B">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二、规划实施过程中环境问题分析：跟踪评价认为，上窑工业集聚区在基础设施建设、功能分区、局部用地布局、环境管理等方面仍存在一些问题，主要表现为入区企业未完全按规划的功能分区入驻，区内部分用地性质与规划不符，现状部分产业布局合理性不足，集聚区自身的环境管理和监测计划尚未完全开展，集聚区应急预案尚未编制。</w:t>
                  </w:r>
                </w:p>
              </w:tc>
              <w:tc>
                <w:tcPr>
                  <w:tcW w:w="1687" w:type="pct"/>
                  <w:tcBorders>
                    <w:tl2br w:val="nil"/>
                    <w:tr2bl w:val="nil"/>
                  </w:tcBorders>
                  <w:vAlign w:val="center"/>
                </w:tcPr>
                <w:p w14:paraId="19FDAAFD">
                  <w:pPr>
                    <w:tabs>
                      <w:tab w:val="left" w:pos="1830"/>
                    </w:tabs>
                    <w:adjustRightInd w:val="0"/>
                    <w:jc w:val="both"/>
                    <w:rPr>
                      <w:rFonts w:hint="eastAsia" w:ascii="仿宋" w:hAnsi="仿宋" w:eastAsia="仿宋" w:cs="仿宋"/>
                      <w:color w:val="auto"/>
                      <w:szCs w:val="21"/>
                      <w:highlight w:val="yellow"/>
                    </w:rPr>
                  </w:pPr>
                  <w:r>
                    <w:rPr>
                      <w:rFonts w:hint="eastAsia" w:ascii="仿宋" w:hAnsi="仿宋" w:eastAsia="仿宋" w:cs="仿宋"/>
                      <w:color w:val="auto"/>
                      <w:szCs w:val="21"/>
                      <w:highlight w:val="none"/>
                    </w:rPr>
                    <w:t>本项目位于工业聚集区的东北侧，在</w:t>
                  </w:r>
                  <w:r>
                    <w:rPr>
                      <w:rFonts w:hint="eastAsia" w:ascii="仿宋" w:hAnsi="仿宋" w:eastAsia="仿宋" w:cs="仿宋"/>
                      <w:color w:val="auto"/>
                      <w:szCs w:val="21"/>
                      <w:highlight w:val="none"/>
                      <w:lang w:val="en-US" w:eastAsia="zh-CN"/>
                    </w:rPr>
                    <w:t>主导</w:t>
                  </w:r>
                  <w:r>
                    <w:rPr>
                      <w:rFonts w:hint="eastAsia" w:ascii="仿宋" w:hAnsi="仿宋" w:eastAsia="仿宋" w:cs="仿宋"/>
                      <w:color w:val="auto"/>
                      <w:szCs w:val="21"/>
                      <w:highlight w:val="none"/>
                    </w:rPr>
                    <w:t>风向的下方向，利用了园区的空置工业厂房，</w:t>
                  </w:r>
                  <w:r>
                    <w:rPr>
                      <w:rFonts w:hint="eastAsia" w:ascii="仿宋" w:hAnsi="仿宋" w:eastAsia="仿宋" w:cs="仿宋"/>
                      <w:color w:val="auto"/>
                      <w:szCs w:val="21"/>
                      <w:highlight w:val="none"/>
                      <w:lang w:eastAsia="zh-CN"/>
                    </w:rPr>
                    <w:t>所在用地为二类工业用地，</w:t>
                  </w:r>
                  <w:r>
                    <w:rPr>
                      <w:rFonts w:hint="eastAsia" w:ascii="仿宋" w:hAnsi="仿宋" w:eastAsia="仿宋" w:cs="仿宋"/>
                      <w:color w:val="auto"/>
                      <w:szCs w:val="21"/>
                      <w:highlight w:val="none"/>
                      <w:lang w:val="en-US" w:eastAsia="zh-CN"/>
                    </w:rPr>
                    <w:t>用地性质符合，</w:t>
                  </w:r>
                  <w:r>
                    <w:rPr>
                      <w:rFonts w:hint="eastAsia" w:ascii="仿宋" w:hAnsi="仿宋" w:eastAsia="仿宋" w:cs="仿宋"/>
                      <w:color w:val="auto"/>
                      <w:szCs w:val="21"/>
                      <w:highlight w:val="none"/>
                    </w:rPr>
                    <w:t>制定了定期自主监测计划，监测项目涉及废气、噪声和废水，本环评要求企业编制环境应急预案。</w:t>
                  </w:r>
                </w:p>
              </w:tc>
              <w:tc>
                <w:tcPr>
                  <w:tcW w:w="701" w:type="pct"/>
                  <w:tcBorders>
                    <w:tl2br w:val="nil"/>
                    <w:tr2bl w:val="nil"/>
                  </w:tcBorders>
                  <w:vAlign w:val="center"/>
                </w:tcPr>
                <w:p w14:paraId="516AE847">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r w14:paraId="0BEEA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0BAA19D5">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2200" w:type="pct"/>
                  <w:tcBorders>
                    <w:tl2br w:val="nil"/>
                    <w:tr2bl w:val="nil"/>
                  </w:tcBorders>
                  <w:vAlign w:val="center"/>
                </w:tcPr>
                <w:p w14:paraId="2082DCF5">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三、整改要求：跟踪评价对下一步规划实施环境管理提出了相关整改要求：</w:t>
                  </w:r>
                </w:p>
                <w:p w14:paraId="1EAF8FA9">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1、建议尽快启动集聚区新一轮总体规划的编制工作，服装纺织、精细化工可不作为主导产业发展，新材料产业调整为建筑材料制造产业；</w:t>
                  </w:r>
                </w:p>
                <w:p w14:paraId="47462F3F">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2、建议在集聚区南部设置防护隔离带，减少对南侧规划的居住用地的影响；高压线走廊两侧区域维持现状，不再新建厂房和办公区，同时增加空地区域的绿化。</w:t>
                  </w:r>
                </w:p>
                <w:p w14:paraId="5EE5A72A">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3、加快推进集聚区工业废水管网建设进度，确保园区废水100%纳管。</w:t>
                  </w:r>
                </w:p>
                <w:p w14:paraId="16A724F5">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4、按照本次跟踪评价报告中内容要求建立常规环境监测体系，落实园区内大气、地下水、土壤、噪声跟踪监测计划。</w:t>
                  </w:r>
                </w:p>
                <w:p w14:paraId="6AFAE759">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5、加快制定园区环境风险应急预案；设置应对突发环境污染事故的应急环境监控系统等，定期开展环境风险应急预案演练。督促部分企业尽快完成排污许可申领工作。</w:t>
                  </w:r>
                </w:p>
                <w:p w14:paraId="2D3F82F3">
                  <w:pPr>
                    <w:tabs>
                      <w:tab w:val="left" w:pos="1830"/>
                    </w:tabs>
                    <w:adjustRightInd w:val="0"/>
                    <w:rPr>
                      <w:rFonts w:hint="eastAsia" w:ascii="仿宋" w:hAnsi="仿宋" w:eastAsia="仿宋" w:cs="仿宋"/>
                      <w:color w:val="auto"/>
                      <w:szCs w:val="21"/>
                    </w:rPr>
                  </w:pPr>
                  <w:r>
                    <w:rPr>
                      <w:rFonts w:hint="eastAsia" w:ascii="仿宋" w:hAnsi="仿宋" w:eastAsia="仿宋" w:cs="仿宋"/>
                      <w:color w:val="auto"/>
                      <w:szCs w:val="21"/>
                    </w:rPr>
                    <w:t>6、鼓励企业开展清洁生产审核工作，进一步提高清洁生产水平。</w:t>
                  </w:r>
                </w:p>
              </w:tc>
              <w:tc>
                <w:tcPr>
                  <w:tcW w:w="1687" w:type="pct"/>
                  <w:tcBorders>
                    <w:tl2br w:val="nil"/>
                    <w:tr2bl w:val="nil"/>
                  </w:tcBorders>
                  <w:vAlign w:val="center"/>
                </w:tcPr>
                <w:p w14:paraId="33626047">
                  <w:pPr>
                    <w:tabs>
                      <w:tab w:val="left" w:pos="1830"/>
                    </w:tabs>
                    <w:adjustRightInd w:val="0"/>
                    <w:jc w:val="both"/>
                    <w:rPr>
                      <w:rFonts w:hint="eastAsia" w:ascii="仿宋" w:hAnsi="仿宋" w:eastAsia="仿宋" w:cs="仿宋"/>
                      <w:color w:val="auto"/>
                      <w:szCs w:val="21"/>
                      <w:highlight w:val="yellow"/>
                    </w:rPr>
                  </w:pPr>
                  <w:r>
                    <w:rPr>
                      <w:rFonts w:hint="eastAsia" w:ascii="仿宋" w:hAnsi="仿宋" w:eastAsia="仿宋" w:cs="仿宋"/>
                      <w:color w:val="auto"/>
                      <w:szCs w:val="21"/>
                      <w:highlight w:val="none"/>
                    </w:rPr>
                    <w:t>本项目属于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N7723固体废物治理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，不属园区禁止和限制进入的项目；拟建项目周边500m无环境敏感点，运营过程中产生废气均已得到妥善处里；</w:t>
                  </w:r>
                  <w:r>
                    <w:rPr>
                      <w:rFonts w:hint="eastAsia" w:ascii="仿宋" w:hAnsi="仿宋" w:eastAsia="仿宋" w:cs="仿宋"/>
                      <w:color w:val="auto"/>
                      <w:sz w:val="21"/>
                      <w:szCs w:val="21"/>
                      <w:highlight w:val="none"/>
                      <w:vertAlign w:val="baseline"/>
                      <w:lang w:val="en-US" w:eastAsia="zh-CN"/>
                    </w:rPr>
                    <w:t>厂内</w:t>
                  </w:r>
                  <w:r>
                    <w:rPr>
                      <w:rFonts w:hint="eastAsia" w:ascii="仿宋" w:hAnsi="仿宋" w:eastAsia="仿宋" w:cs="仿宋"/>
                      <w:color w:val="auto"/>
                      <w:sz w:val="21"/>
                      <w:szCs w:val="21"/>
                      <w:highlight w:val="none"/>
                      <w:lang w:eastAsia="zh-CN"/>
                    </w:rPr>
                    <w:t>喷淋废水、</w:t>
                  </w:r>
                  <w:r>
                    <w:rPr>
                      <w:rFonts w:hint="eastAsia" w:ascii="仿宋" w:hAnsi="仿宋" w:eastAsia="仿宋" w:cs="仿宋"/>
                      <w:color w:val="auto"/>
                      <w:sz w:val="21"/>
                      <w:szCs w:val="21"/>
                      <w:highlight w:val="none"/>
                      <w:lang w:val="en-US" w:eastAsia="zh-CN"/>
                    </w:rPr>
                    <w:t>洗车废水</w:t>
                  </w:r>
                  <w:r>
                    <w:rPr>
                      <w:rFonts w:hint="eastAsia" w:ascii="仿宋" w:hAnsi="仿宋" w:eastAsia="仿宋" w:cs="仿宋"/>
                      <w:color w:val="auto"/>
                      <w:sz w:val="21"/>
                      <w:szCs w:val="21"/>
                      <w:highlight w:val="none"/>
                      <w:vertAlign w:val="baseline"/>
                      <w:lang w:val="en-US" w:eastAsia="zh-CN"/>
                    </w:rPr>
                    <w:t>回用于生产，不外排。生活污水经化粪池处理后达到上窑工业集聚区污水处理厂接管标准后排入上窑工业集聚区污水处理厂，出水水质达到《城镇污水处理厂污染物排放标准》（GB18918-2002）中一级A标准后排入窑河</w:t>
                  </w:r>
                  <w:r>
                    <w:rPr>
                      <w:rFonts w:hint="eastAsia" w:ascii="仿宋" w:hAnsi="仿宋" w:eastAsia="仿宋" w:cs="仿宋"/>
                      <w:color w:val="auto"/>
                      <w:szCs w:val="21"/>
                      <w:highlight w:val="none"/>
                    </w:rPr>
                    <w:t>；本环评要求企业制定环境风险应急预案，在发生实际排污前申领排污许可证</w:t>
                  </w:r>
                </w:p>
              </w:tc>
              <w:tc>
                <w:tcPr>
                  <w:tcW w:w="701" w:type="pct"/>
                  <w:tcBorders>
                    <w:tl2br w:val="nil"/>
                    <w:tr2bl w:val="nil"/>
                  </w:tcBorders>
                  <w:vAlign w:val="center"/>
                </w:tcPr>
                <w:p w14:paraId="1678F0DD">
                  <w:pPr>
                    <w:tabs>
                      <w:tab w:val="left" w:pos="1830"/>
                    </w:tabs>
                    <w:adjustRightInd w:val="0"/>
                    <w:jc w:val="center"/>
                    <w:rPr>
                      <w:rFonts w:hint="eastAsia" w:ascii="仿宋" w:hAnsi="仿宋" w:eastAsia="仿宋" w:cs="仿宋"/>
                      <w:color w:val="auto"/>
                      <w:szCs w:val="21"/>
                    </w:rPr>
                  </w:pPr>
                  <w:r>
                    <w:rPr>
                      <w:rFonts w:hint="eastAsia" w:ascii="仿宋" w:hAnsi="仿宋" w:eastAsia="仿宋" w:cs="仿宋"/>
                      <w:color w:val="auto"/>
                      <w:szCs w:val="21"/>
                    </w:rPr>
                    <w:t>符合</w:t>
                  </w:r>
                </w:p>
              </w:tc>
            </w:tr>
          </w:tbl>
          <w:p w14:paraId="28CF7D7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FF0000"/>
                <w:kern w:val="0"/>
                <w:sz w:val="24"/>
                <w:szCs w:val="24"/>
                <w:lang w:val="en-US" w:eastAsia="zh-CN"/>
              </w:rPr>
            </w:pPr>
          </w:p>
        </w:tc>
      </w:tr>
      <w:tr w14:paraId="155DE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021" w:hRule="atLeast"/>
          <w:jc w:val="center"/>
        </w:trPr>
        <w:tc>
          <w:tcPr>
            <w:tcW w:w="1352" w:type="dxa"/>
            <w:vAlign w:val="center"/>
          </w:tcPr>
          <w:p w14:paraId="7673D7F6">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其</w:t>
            </w:r>
          </w:p>
          <w:p w14:paraId="73B2718C">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他</w:t>
            </w:r>
          </w:p>
          <w:p w14:paraId="30A2561C">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符</w:t>
            </w:r>
          </w:p>
          <w:p w14:paraId="01EF95FE">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合</w:t>
            </w:r>
          </w:p>
          <w:p w14:paraId="59CC84A0">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性</w:t>
            </w:r>
          </w:p>
          <w:p w14:paraId="461CBC25">
            <w:pPr>
              <w:autoSpaceDE w:val="0"/>
              <w:autoSpaceDN w:val="0"/>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分</w:t>
            </w:r>
          </w:p>
          <w:p w14:paraId="356E95FB">
            <w:pPr>
              <w:autoSpaceDE w:val="0"/>
              <w:autoSpaceDN w:val="0"/>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 w:val="24"/>
                <w:szCs w:val="24"/>
              </w:rPr>
              <w:t>析</w:t>
            </w:r>
          </w:p>
        </w:tc>
        <w:tc>
          <w:tcPr>
            <w:tcW w:w="7536" w:type="dxa"/>
            <w:gridSpan w:val="3"/>
            <w:vAlign w:val="center"/>
          </w:tcPr>
          <w:p w14:paraId="30D53CE3">
            <w:pPr>
              <w:pStyle w:val="10"/>
              <w:keepNext w:val="0"/>
              <w:keepLines w:val="0"/>
              <w:pageBreakBefore w:val="0"/>
              <w:widowControl/>
              <w:kinsoku/>
              <w:wordWrap/>
              <w:overflowPunct/>
              <w:topLinePunct w:val="0"/>
              <w:autoSpaceDE/>
              <w:autoSpaceDN/>
              <w:bidi w:val="0"/>
              <w:adjustRightInd/>
              <w:snapToGrid w:val="0"/>
              <w:spacing w:before="0" w:after="0" w:line="440" w:lineRule="exact"/>
              <w:ind w:right="0" w:rightChars="0"/>
              <w:jc w:val="left"/>
              <w:textAlignment w:val="auto"/>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2、产业政策相符性分析</w:t>
            </w:r>
          </w:p>
          <w:p w14:paraId="0BFF1047">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0"/>
                <w:sz w:val="24"/>
                <w:lang w:val="en-US" w:eastAsia="zh-CN" w:bidi="ar"/>
              </w:rPr>
              <w:t>根据《产业结构调整指导目录（20</w:t>
            </w:r>
            <w:r>
              <w:rPr>
                <w:rFonts w:hint="eastAsia" w:ascii="仿宋" w:hAnsi="仿宋" w:eastAsia="仿宋" w:cs="仿宋"/>
                <w:color w:val="auto"/>
                <w:kern w:val="0"/>
                <w:sz w:val="24"/>
                <w:lang w:val="en-US" w:eastAsia="zh-CN" w:bidi="ar"/>
              </w:rPr>
              <w:t>24</w:t>
            </w:r>
            <w:r>
              <w:rPr>
                <w:rFonts w:hint="default" w:ascii="仿宋" w:hAnsi="仿宋" w:eastAsia="仿宋" w:cs="仿宋"/>
                <w:color w:val="auto"/>
                <w:kern w:val="0"/>
                <w:sz w:val="24"/>
                <w:lang w:val="en-US" w:eastAsia="zh-CN" w:bidi="ar"/>
              </w:rPr>
              <w:t>年本）》第</w:t>
            </w:r>
            <w:r>
              <w:rPr>
                <w:rFonts w:hint="eastAsia" w:ascii="仿宋" w:hAnsi="仿宋" w:eastAsia="仿宋" w:cs="仿宋"/>
                <w:color w:val="auto"/>
                <w:kern w:val="0"/>
                <w:sz w:val="24"/>
                <w:lang w:val="en-US" w:eastAsia="zh-CN" w:bidi="ar"/>
              </w:rPr>
              <w:t>四十二</w:t>
            </w:r>
            <w:r>
              <w:rPr>
                <w:rFonts w:hint="default" w:ascii="仿宋" w:hAnsi="仿宋" w:eastAsia="仿宋" w:cs="仿宋"/>
                <w:color w:val="auto"/>
                <w:kern w:val="0"/>
                <w:sz w:val="24"/>
                <w:lang w:val="en-US" w:eastAsia="zh-CN" w:bidi="ar"/>
              </w:rPr>
              <w:t>类鼓励类中第</w:t>
            </w:r>
            <w:r>
              <w:rPr>
                <w:rFonts w:hint="eastAsia" w:ascii="仿宋" w:hAnsi="仿宋" w:eastAsia="仿宋" w:cs="仿宋"/>
                <w:color w:val="auto"/>
                <w:kern w:val="0"/>
                <w:sz w:val="24"/>
                <w:lang w:val="en-US" w:eastAsia="zh-CN" w:bidi="ar"/>
              </w:rPr>
              <w:t>10</w:t>
            </w:r>
            <w:r>
              <w:rPr>
                <w:rFonts w:hint="default" w:ascii="仿宋" w:hAnsi="仿宋" w:eastAsia="仿宋" w:cs="仿宋"/>
                <w:color w:val="auto"/>
                <w:kern w:val="0"/>
                <w:sz w:val="24"/>
                <w:lang w:val="en-US" w:eastAsia="zh-CN" w:bidi="ar"/>
              </w:rPr>
              <w:t>条鼓励项：“三废”综合利用与治理技术、装备和工程，</w:t>
            </w:r>
            <w:r>
              <w:rPr>
                <w:rFonts w:hint="eastAsia" w:ascii="仿宋" w:hAnsi="仿宋" w:eastAsia="仿宋" w:cs="仿宋"/>
                <w:color w:val="auto"/>
                <w:sz w:val="24"/>
                <w:szCs w:val="24"/>
                <w:lang w:val="en-US" w:eastAsia="zh-CN"/>
              </w:rPr>
              <w:t>故项目属于鼓励类项目；2024年12月24日，淮南市大通区发展和改革委员会对该项目进行备案，项目代码为2412-340402-04-01-174939， 因此建设项目符合国家以及地方产业政策的要求。</w:t>
            </w:r>
          </w:p>
          <w:p w14:paraId="1D1C4D58">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s="仿宋"/>
                <w:color w:val="auto"/>
                <w:spacing w:val="0"/>
                <w:kern w:val="0"/>
                <w:sz w:val="24"/>
                <w:szCs w:val="24"/>
                <w:lang w:val="en-US" w:eastAsia="zh-CN" w:bidi="ar-SA"/>
              </w:rPr>
            </w:pPr>
            <w:r>
              <w:rPr>
                <w:rFonts w:hint="eastAsia" w:ascii="仿宋" w:hAnsi="仿宋" w:eastAsia="仿宋" w:cs="仿宋"/>
                <w:b/>
                <w:bCs/>
                <w:color w:val="auto"/>
                <w:spacing w:val="0"/>
                <w:kern w:val="0"/>
                <w:sz w:val="24"/>
                <w:szCs w:val="24"/>
                <w:lang w:val="en-US" w:eastAsia="zh-CN" w:bidi="ar-SA"/>
              </w:rPr>
              <w:t>3、项目地周边环境概况及选址合理性分析</w:t>
            </w:r>
          </w:p>
          <w:p w14:paraId="57ACB81F">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eastAsia" w:ascii="仿宋" w:hAnsi="仿宋" w:eastAsia="仿宋" w:cs="仿宋"/>
                <w:sz w:val="24"/>
              </w:rPr>
            </w:pPr>
            <w:r>
              <w:rPr>
                <w:rFonts w:hint="eastAsia" w:ascii="仿宋" w:hAnsi="仿宋" w:eastAsia="仿宋" w:cs="仿宋"/>
                <w:color w:val="auto"/>
                <w:spacing w:val="0"/>
                <w:kern w:val="0"/>
                <w:sz w:val="24"/>
                <w:szCs w:val="24"/>
                <w:lang w:val="en-US" w:eastAsia="zh-CN" w:bidi="ar-SA"/>
              </w:rPr>
              <w:t>项目地东侧、西侧、北侧、南侧均为园区入驻企业，为建材类和工贸类企业，无食品、医药企业。项目地周边500米范围内无居住小区</w:t>
            </w:r>
            <w:r>
              <w:rPr>
                <w:rFonts w:hint="eastAsia" w:ascii="仿宋" w:hAnsi="仿宋" w:eastAsia="仿宋" w:cs="仿宋"/>
                <w:sz w:val="24"/>
                <w:lang w:eastAsia="zh-CN"/>
              </w:rPr>
              <w:t>、</w:t>
            </w:r>
            <w:r>
              <w:rPr>
                <w:rFonts w:hint="eastAsia" w:ascii="仿宋" w:hAnsi="仿宋" w:eastAsia="仿宋" w:cs="仿宋"/>
                <w:sz w:val="24"/>
              </w:rPr>
              <w:t>学校、无医院，周围无名胜古迹和重点文物保护单位</w:t>
            </w:r>
            <w:r>
              <w:rPr>
                <w:rFonts w:hint="eastAsia" w:ascii="仿宋" w:hAnsi="仿宋" w:eastAsia="仿宋" w:cs="仿宋"/>
                <w:sz w:val="24"/>
                <w:lang w:val="en-US" w:eastAsia="zh-CN"/>
              </w:rPr>
              <w:t>等敏感点</w:t>
            </w:r>
            <w:r>
              <w:rPr>
                <w:rFonts w:hint="eastAsia" w:ascii="仿宋" w:hAnsi="仿宋" w:eastAsia="仿宋" w:cs="仿宋"/>
                <w:sz w:val="24"/>
              </w:rPr>
              <w:t>，也无自然保护区、风景名胜区等需要特殊保护的对象，周边环境对工程的建设、运营没有制约因素；周边无对企业、环境要求高的行业，与本项目不冲突。项目建设完成后，企业在严格落实各项环保措施，其所排放的废气、废水、噪声等污染均能达到国家相应的污染物排放标准。</w:t>
            </w:r>
          </w:p>
          <w:p w14:paraId="0FF96AD7">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val="0"/>
                <w:bCs/>
                <w:color w:val="auto"/>
                <w:kern w:val="0"/>
                <w:sz w:val="24"/>
                <w:szCs w:val="24"/>
                <w:lang w:val="en-US" w:eastAsia="zh-CN" w:bidi="ar-SA"/>
              </w:rPr>
              <w:t>综上，项目选址与周边环境相容，项目选址可行。</w:t>
            </w:r>
          </w:p>
          <w:p w14:paraId="5C31436B">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rightChars="0"/>
              <w:jc w:val="left"/>
              <w:textAlignment w:val="auto"/>
              <w:rPr>
                <w:rFonts w:hint="eastAsia" w:ascii="仿宋" w:hAnsi="仿宋" w:eastAsia="仿宋" w:cs="仿宋"/>
                <w:color w:val="auto"/>
                <w:spacing w:val="0"/>
                <w:kern w:val="0"/>
                <w:sz w:val="24"/>
                <w:szCs w:val="24"/>
                <w:lang w:val="en-US" w:eastAsia="zh-CN" w:bidi="ar-SA"/>
              </w:rPr>
            </w:pPr>
            <w:r>
              <w:rPr>
                <w:rFonts w:hint="eastAsia" w:ascii="仿宋" w:hAnsi="仿宋" w:eastAsia="仿宋" w:cs="仿宋"/>
                <w:b/>
                <w:bCs/>
                <w:snapToGrid w:val="0"/>
                <w:color w:val="auto"/>
                <w:kern w:val="0"/>
                <w:sz w:val="24"/>
                <w:szCs w:val="24"/>
                <w:lang w:val="en-US" w:eastAsia="zh-CN"/>
              </w:rPr>
              <w:t>4、“三线一单”相符性分析</w:t>
            </w:r>
          </w:p>
          <w:p w14:paraId="68495CC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kern w:val="0"/>
                <w:sz w:val="24"/>
                <w:lang w:bidi="ar"/>
              </w:rPr>
              <w:t>（1）生态保护红线</w:t>
            </w:r>
          </w:p>
          <w:p w14:paraId="5CEE11A3">
            <w:pPr>
              <w:widowControl/>
              <w:spacing w:line="360" w:lineRule="auto"/>
              <w:ind w:firstLine="480" w:firstLineChars="200"/>
              <w:jc w:val="both"/>
              <w:rPr>
                <w:rFonts w:hint="eastAsia" w:ascii="仿宋" w:hAnsi="仿宋" w:eastAsia="仿宋" w:cs="仿宋"/>
                <w:color w:val="auto"/>
                <w:sz w:val="24"/>
              </w:rPr>
            </w:pPr>
            <w:r>
              <w:rPr>
                <w:rFonts w:hint="eastAsia" w:ascii="仿宋" w:hAnsi="仿宋" w:eastAsia="仿宋" w:cs="仿宋"/>
                <w:color w:val="auto"/>
                <w:kern w:val="0"/>
                <w:sz w:val="24"/>
                <w:lang w:bidi="ar"/>
              </w:rPr>
              <w:t>本项目位于淮南市大通区工业园区，</w:t>
            </w:r>
            <w:r>
              <w:rPr>
                <w:rFonts w:hint="eastAsia" w:ascii="仿宋" w:hAnsi="仿宋" w:eastAsia="仿宋" w:cs="仿宋"/>
                <w:color w:val="auto"/>
                <w:kern w:val="0"/>
                <w:sz w:val="24"/>
                <w:lang w:val="en-US" w:eastAsia="zh-CN" w:bidi="ar"/>
              </w:rPr>
              <w:t>根据</w:t>
            </w:r>
            <w:r>
              <w:rPr>
                <w:rFonts w:hint="eastAsia" w:ascii="仿宋" w:hAnsi="仿宋" w:eastAsia="仿宋" w:cs="仿宋"/>
                <w:color w:val="auto"/>
                <w:kern w:val="0"/>
                <w:sz w:val="24"/>
                <w:lang w:eastAsia="zh-CN" w:bidi="ar"/>
              </w:rPr>
              <w:t>《</w:t>
            </w:r>
            <w:r>
              <w:rPr>
                <w:rFonts w:hint="eastAsia" w:ascii="仿宋" w:hAnsi="仿宋" w:eastAsia="仿宋" w:cs="仿宋"/>
                <w:color w:val="auto"/>
                <w:kern w:val="0"/>
                <w:sz w:val="24"/>
                <w:lang w:bidi="ar"/>
              </w:rPr>
              <w:t>长江经济带战略环境评价安徽省</w:t>
            </w:r>
            <w:r>
              <w:rPr>
                <w:rFonts w:hint="eastAsia" w:ascii="仿宋" w:hAnsi="仿宋" w:eastAsia="仿宋" w:cs="仿宋"/>
                <w:color w:val="auto"/>
                <w:kern w:val="0"/>
                <w:sz w:val="24"/>
                <w:lang w:val="en-US" w:eastAsia="zh-CN" w:bidi="ar"/>
              </w:rPr>
              <w:t>淮南市</w:t>
            </w:r>
            <w:r>
              <w:rPr>
                <w:rFonts w:hint="eastAsia" w:ascii="仿宋" w:hAnsi="仿宋" w:eastAsia="仿宋" w:cs="仿宋"/>
                <w:color w:val="auto"/>
                <w:kern w:val="0"/>
                <w:sz w:val="24"/>
                <w:lang w:bidi="ar"/>
              </w:rPr>
              <w:t>“三线</w:t>
            </w:r>
            <w:r>
              <w:rPr>
                <w:rFonts w:hint="eastAsia" w:ascii="仿宋" w:hAnsi="仿宋" w:eastAsia="仿宋" w:cs="仿宋"/>
                <w:color w:val="auto"/>
                <w:kern w:val="0"/>
                <w:sz w:val="24"/>
                <w:lang w:val="en-US" w:eastAsia="zh-CN" w:bidi="ar"/>
              </w:rPr>
              <w:t>一单”编制文本</w:t>
            </w:r>
            <w:r>
              <w:rPr>
                <w:rFonts w:hint="eastAsia" w:ascii="仿宋" w:hAnsi="仿宋" w:eastAsia="仿宋" w:cs="仿宋"/>
                <w:color w:val="auto"/>
                <w:kern w:val="0"/>
                <w:sz w:val="24"/>
                <w:lang w:eastAsia="zh-CN" w:bidi="ar"/>
              </w:rPr>
              <w:t>》，</w:t>
            </w:r>
            <w:r>
              <w:rPr>
                <w:rFonts w:hint="eastAsia" w:ascii="仿宋" w:hAnsi="仿宋" w:eastAsia="仿宋" w:cs="仿宋"/>
                <w:color w:val="auto"/>
                <w:kern w:val="0"/>
                <w:sz w:val="24"/>
                <w:lang w:val="en-US" w:eastAsia="zh-CN" w:bidi="ar"/>
              </w:rPr>
              <w:t>大通区生态红线面积为37.83km</w:t>
            </w:r>
            <w:r>
              <w:rPr>
                <w:rFonts w:hint="eastAsia" w:ascii="仿宋" w:hAnsi="仿宋" w:eastAsia="仿宋" w:cs="仿宋"/>
                <w:color w:val="auto"/>
                <w:kern w:val="0"/>
                <w:sz w:val="24"/>
                <w:vertAlign w:val="superscript"/>
                <w:lang w:val="en-US" w:eastAsia="zh-CN" w:bidi="ar"/>
              </w:rPr>
              <w:t>2</w:t>
            </w:r>
            <w:r>
              <w:rPr>
                <w:rFonts w:hint="eastAsia" w:ascii="仿宋" w:hAnsi="仿宋" w:eastAsia="仿宋" w:cs="仿宋"/>
                <w:color w:val="auto"/>
                <w:kern w:val="0"/>
                <w:sz w:val="24"/>
                <w:vertAlign w:val="baseline"/>
                <w:lang w:val="en-US" w:eastAsia="zh-CN" w:bidi="ar"/>
              </w:rPr>
              <w:t>，主导功能为生物多样性维护，离本项目最近的生态红线片区为高塘湖，距离为700m，</w:t>
            </w:r>
            <w:r>
              <w:rPr>
                <w:rFonts w:hint="eastAsia" w:ascii="仿宋" w:hAnsi="仿宋" w:eastAsia="仿宋" w:cs="仿宋"/>
                <w:color w:val="auto"/>
                <w:kern w:val="0"/>
                <w:sz w:val="24"/>
                <w:lang w:bidi="ar"/>
              </w:rPr>
              <w:t>淮南市大通区工业园区不在生态保护红线范围内。因此符合生态保护红线要求。</w:t>
            </w:r>
          </w:p>
          <w:p w14:paraId="0851AEC5">
            <w:pPr>
              <w:widowControl/>
              <w:spacing w:line="360" w:lineRule="auto"/>
              <w:ind w:firstLine="480" w:firstLineChars="200"/>
              <w:jc w:val="lef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（2）环境质量底线</w:t>
            </w:r>
            <w:r>
              <w:rPr>
                <w:rFonts w:hint="eastAsia" w:ascii="仿宋" w:hAnsi="仿宋" w:eastAsia="仿宋" w:cs="仿宋"/>
                <w:color w:val="auto"/>
                <w:kern w:val="0"/>
                <w:sz w:val="24"/>
                <w:lang w:val="en-US" w:eastAsia="zh-CN" w:bidi="ar"/>
              </w:rPr>
              <w:t>及环境分区管控</w:t>
            </w:r>
          </w:p>
          <w:p w14:paraId="02398490">
            <w:pPr>
              <w:widowControl/>
              <w:spacing w:line="360" w:lineRule="auto"/>
              <w:ind w:firstLine="480" w:firstLineChars="200"/>
              <w:jc w:val="both"/>
              <w:rPr>
                <w:rFonts w:hint="eastAsia" w:ascii="仿宋" w:hAnsi="仿宋" w:eastAsia="仿宋" w:cs="仿宋"/>
                <w:color w:val="auto"/>
                <w:sz w:val="24"/>
              </w:rPr>
            </w:pPr>
            <w:r>
              <w:rPr>
                <w:rFonts w:hint="eastAsia" w:ascii="仿宋" w:hAnsi="仿宋" w:eastAsia="仿宋" w:cs="仿宋"/>
                <w:color w:val="auto"/>
                <w:kern w:val="0"/>
                <w:sz w:val="24"/>
                <w:lang w:bidi="ar"/>
              </w:rPr>
              <w:t>①环境空气：根据《</w:t>
            </w:r>
            <w:r>
              <w:rPr>
                <w:rFonts w:hint="eastAsia" w:ascii="仿宋" w:hAnsi="仿宋" w:eastAsia="仿宋" w:cs="仿宋"/>
                <w:color w:val="auto"/>
                <w:kern w:val="0"/>
                <w:sz w:val="24"/>
                <w:lang w:eastAsia="zh-CN" w:bidi="ar"/>
              </w:rPr>
              <w:t>2023年淮南市生态环境质量状况公报</w:t>
            </w:r>
            <w:r>
              <w:rPr>
                <w:rFonts w:hint="eastAsia" w:ascii="仿宋" w:hAnsi="仿宋" w:eastAsia="仿宋" w:cs="仿宋"/>
                <w:color w:val="auto"/>
                <w:kern w:val="0"/>
                <w:sz w:val="24"/>
                <w:lang w:bidi="ar"/>
              </w:rPr>
              <w:t>》可知，淮南市PM</w:t>
            </w:r>
            <w:r>
              <w:rPr>
                <w:rFonts w:hint="eastAsia" w:ascii="仿宋" w:hAnsi="仿宋" w:eastAsia="仿宋" w:cs="仿宋"/>
                <w:color w:val="auto"/>
                <w:kern w:val="0"/>
                <w:sz w:val="24"/>
                <w:vertAlign w:val="subscript"/>
                <w:lang w:bidi="ar"/>
              </w:rPr>
              <w:t>2.5</w:t>
            </w:r>
            <w:r>
              <w:rPr>
                <w:rFonts w:hint="eastAsia" w:ascii="仿宋" w:hAnsi="仿宋" w:eastAsia="仿宋" w:cs="仿宋"/>
                <w:color w:val="auto"/>
                <w:kern w:val="0"/>
                <w:sz w:val="24"/>
                <w:lang w:bidi="ar"/>
              </w:rPr>
              <w:t>不达标，因此淮南市区域为环境空气质量不达标区。</w:t>
            </w:r>
            <w:r>
              <w:rPr>
                <w:rFonts w:hint="eastAsia" w:ascii="仿宋" w:hAnsi="仿宋" w:eastAsia="仿宋" w:cs="仿宋"/>
                <w:color w:val="auto"/>
                <w:sz w:val="24"/>
              </w:rPr>
              <w:t>根据《淮南市“十四五”生态环境保护规划》，对于区域大气环境治理采取的措施主要有：超低排放等污染治理技术改造；集中供热、燃煤锅炉替代、落后产能升级淘汰等能源结构优化工程；重点行业烟气脱硫脱硝和加油站、油罐车、储油库油气回收与治理工程，有机化工、表面涂装、包装印刷等行业、有机化工和医药化工园区、煤化工基地挥发性有机物综合整治。通过采取以上措施，到2025年，臭氧上升趋势等到遏制，PM</w:t>
            </w:r>
            <w:r>
              <w:rPr>
                <w:rFonts w:hint="eastAsia" w:ascii="仿宋" w:hAnsi="仿宋" w:eastAsia="仿宋" w:cs="仿宋"/>
                <w:color w:val="auto"/>
                <w:sz w:val="24"/>
                <w:vertAlign w:val="subscript"/>
              </w:rPr>
              <w:t>2.5</w:t>
            </w:r>
            <w:r>
              <w:rPr>
                <w:rFonts w:hint="eastAsia" w:ascii="仿宋" w:hAnsi="仿宋" w:eastAsia="仿宋" w:cs="仿宋"/>
                <w:color w:val="auto"/>
                <w:sz w:val="24"/>
              </w:rPr>
              <w:t>浓度持续下降，完成省下达的任务，环境空气质量总体改善。</w:t>
            </w:r>
          </w:p>
          <w:p w14:paraId="5EB8C252">
            <w:pPr>
              <w:widowControl/>
              <w:spacing w:line="360" w:lineRule="auto"/>
              <w:ind w:firstLine="480" w:firstLineChars="200"/>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根据</w:t>
            </w:r>
            <w:r>
              <w:rPr>
                <w:rFonts w:hint="eastAsia" w:ascii="仿宋" w:hAnsi="仿宋" w:eastAsia="仿宋" w:cs="仿宋"/>
                <w:color w:val="auto"/>
                <w:kern w:val="0"/>
                <w:sz w:val="24"/>
                <w:lang w:eastAsia="zh-CN" w:bidi="ar"/>
              </w:rPr>
              <w:t>淮南市生态环境分区管控成果动态更新图集-淮南市大气环境分区管控图</w:t>
            </w:r>
            <w:r>
              <w:rPr>
                <w:rFonts w:hint="eastAsia" w:ascii="仿宋" w:hAnsi="仿宋" w:eastAsia="仿宋" w:cs="仿宋"/>
                <w:color w:val="auto"/>
                <w:kern w:val="0"/>
                <w:sz w:val="24"/>
                <w:lang w:bidi="ar"/>
              </w:rPr>
              <w:t>，本项目位于重点管控区内（附图</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w:t>
            </w:r>
          </w:p>
          <w:p w14:paraId="30E2BB9E">
            <w:pPr>
              <w:adjustRightInd w:val="0"/>
              <w:spacing w:line="240" w:lineRule="auto"/>
              <w:jc w:val="center"/>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表</w:t>
            </w:r>
            <w:r>
              <w:rPr>
                <w:rFonts w:hint="eastAsia" w:ascii="仿宋" w:hAnsi="仿宋" w:eastAsia="仿宋" w:cs="仿宋"/>
                <w:b/>
                <w:bCs w:val="0"/>
                <w:color w:val="auto"/>
                <w:sz w:val="21"/>
                <w:szCs w:val="21"/>
                <w:lang w:val="en-US" w:eastAsia="zh-CN"/>
              </w:rPr>
              <w:t>1</w:t>
            </w:r>
            <w:r>
              <w:rPr>
                <w:rFonts w:hint="eastAsia" w:ascii="仿宋" w:hAnsi="仿宋" w:eastAsia="仿宋" w:cs="仿宋"/>
                <w:b/>
                <w:bCs w:val="0"/>
                <w:color w:val="auto"/>
                <w:sz w:val="21"/>
                <w:szCs w:val="21"/>
              </w:rPr>
              <w:t>-</w:t>
            </w:r>
            <w:r>
              <w:rPr>
                <w:rFonts w:hint="eastAsia" w:ascii="仿宋" w:hAnsi="仿宋" w:eastAsia="仿宋" w:cs="仿宋"/>
                <w:b/>
                <w:bCs w:val="0"/>
                <w:color w:val="auto"/>
                <w:sz w:val="21"/>
                <w:szCs w:val="21"/>
                <w:lang w:val="en-US" w:eastAsia="zh-CN"/>
              </w:rPr>
              <w:t xml:space="preserve">4 </w:t>
            </w:r>
            <w:r>
              <w:rPr>
                <w:rFonts w:hint="eastAsia" w:ascii="仿宋" w:hAnsi="仿宋" w:eastAsia="仿宋" w:cs="仿宋"/>
                <w:b/>
                <w:bCs w:val="0"/>
                <w:color w:val="auto"/>
                <w:sz w:val="21"/>
                <w:szCs w:val="21"/>
              </w:rPr>
              <w:t>与大气环境分区管控要求的协调性分析</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0"/>
              <w:gridCol w:w="3978"/>
              <w:gridCol w:w="2662"/>
            </w:tblGrid>
            <w:tr w14:paraId="0F3AD1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pct"/>
                  <w:tcBorders>
                    <w:top w:val="single" w:color="auto" w:sz="12" w:space="0"/>
                    <w:left w:val="nil"/>
                    <w:bottom w:val="single" w:color="auto" w:sz="6" w:space="0"/>
                    <w:right w:val="single" w:color="auto" w:sz="6" w:space="0"/>
                  </w:tcBorders>
                  <w:vAlign w:val="center"/>
                </w:tcPr>
                <w:p w14:paraId="0089AF50">
                  <w:pPr>
                    <w:spacing w:line="276" w:lineRule="auto"/>
                    <w:jc w:val="center"/>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管控单元分类</w:t>
                  </w:r>
                </w:p>
              </w:tc>
              <w:tc>
                <w:tcPr>
                  <w:tcW w:w="2659" w:type="pct"/>
                  <w:tcBorders>
                    <w:top w:val="single" w:color="auto" w:sz="12" w:space="0"/>
                    <w:left w:val="single" w:color="auto" w:sz="6" w:space="0"/>
                    <w:bottom w:val="single" w:color="auto" w:sz="6" w:space="0"/>
                    <w:right w:val="single" w:color="auto" w:sz="6" w:space="0"/>
                  </w:tcBorders>
                  <w:vAlign w:val="center"/>
                </w:tcPr>
                <w:p w14:paraId="7BCDCF30">
                  <w:pPr>
                    <w:spacing w:line="276" w:lineRule="auto"/>
                    <w:jc w:val="center"/>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环境管控要求</w:t>
                  </w:r>
                </w:p>
              </w:tc>
              <w:tc>
                <w:tcPr>
                  <w:tcW w:w="1779" w:type="pct"/>
                  <w:tcBorders>
                    <w:top w:val="single" w:color="auto" w:sz="12" w:space="0"/>
                    <w:left w:val="single" w:color="auto" w:sz="6" w:space="0"/>
                    <w:bottom w:val="single" w:color="auto" w:sz="6" w:space="0"/>
                    <w:right w:val="nil"/>
                  </w:tcBorders>
                  <w:vAlign w:val="center"/>
                </w:tcPr>
                <w:p w14:paraId="65539CB2">
                  <w:pPr>
                    <w:spacing w:line="276" w:lineRule="auto"/>
                    <w:jc w:val="center"/>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协调性分析</w:t>
                  </w:r>
                </w:p>
              </w:tc>
            </w:tr>
            <w:tr w14:paraId="21CFCE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pct"/>
                  <w:tcBorders>
                    <w:top w:val="single" w:color="auto" w:sz="6" w:space="0"/>
                    <w:left w:val="nil"/>
                    <w:bottom w:val="single" w:color="auto" w:sz="12" w:space="0"/>
                    <w:right w:val="single" w:color="auto" w:sz="6" w:space="0"/>
                  </w:tcBorders>
                  <w:vAlign w:val="center"/>
                </w:tcPr>
                <w:p w14:paraId="428C1597">
                  <w:pPr>
                    <w:spacing w:line="276"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重点管控区</w:t>
                  </w:r>
                </w:p>
              </w:tc>
              <w:tc>
                <w:tcPr>
                  <w:tcW w:w="2659" w:type="pct"/>
                  <w:tcBorders>
                    <w:top w:val="single" w:color="auto" w:sz="6" w:space="0"/>
                    <w:left w:val="single" w:color="auto" w:sz="6" w:space="0"/>
                    <w:bottom w:val="single" w:color="auto" w:sz="12" w:space="0"/>
                    <w:right w:val="single" w:color="auto" w:sz="6" w:space="0"/>
                  </w:tcBorders>
                  <w:vAlign w:val="center"/>
                </w:tcPr>
                <w:p w14:paraId="7A33D120">
                  <w:pPr>
                    <w:spacing w:line="276" w:lineRule="auto"/>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en-US"/>
                    </w:rPr>
                    <w:t>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PM2.5不达标城市新建、改建和扩建项目大气污染物实施“倍量替代”，执行特别排放标准的行业实施提标升级改造。</w:t>
                  </w:r>
                </w:p>
              </w:tc>
              <w:tc>
                <w:tcPr>
                  <w:tcW w:w="1779" w:type="pct"/>
                  <w:tcBorders>
                    <w:top w:val="single" w:color="auto" w:sz="6" w:space="0"/>
                    <w:left w:val="single" w:color="auto" w:sz="6" w:space="0"/>
                    <w:bottom w:val="single" w:color="auto" w:sz="12" w:space="0"/>
                    <w:right w:val="nil"/>
                  </w:tcBorders>
                  <w:vAlign w:val="center"/>
                </w:tcPr>
                <w:p w14:paraId="10A90F27">
                  <w:pPr>
                    <w:spacing w:line="276" w:lineRule="auto"/>
                    <w:jc w:val="center"/>
                    <w:rPr>
                      <w:rFonts w:hint="default" w:ascii="仿宋" w:hAnsi="仿宋" w:eastAsia="仿宋" w:cs="仿宋"/>
                      <w:bCs/>
                      <w:color w:val="auto"/>
                      <w:kern w:val="2"/>
                      <w:sz w:val="21"/>
                      <w:szCs w:val="21"/>
                      <w:highlight w:val="none"/>
                      <w:lang w:val="en-US"/>
                    </w:rPr>
                  </w:pPr>
                  <w:r>
                    <w:rPr>
                      <w:rFonts w:hint="eastAsia" w:ascii="仿宋" w:hAnsi="仿宋" w:eastAsia="仿宋" w:cs="仿宋"/>
                      <w:bCs/>
                      <w:color w:val="auto"/>
                      <w:kern w:val="2"/>
                      <w:sz w:val="21"/>
                      <w:szCs w:val="21"/>
                      <w:highlight w:val="none"/>
                      <w:lang w:val="en-US" w:eastAsia="zh-CN" w:bidi="en-US"/>
                    </w:rPr>
                    <w:t>本项目位于受体敏感重点管控区，上年度淮南市PM2.5不达标，本项目对生产过程中产生的粉尘进行针对性的处理，在采取评价提出的各项污染防治措施的前提下，各项污染物均可做到达标排放。颗粒物排放执行《大气污染物综合排放标准》（GB16297-1996）相关限值，大气污染物实施“倍量替代”，满足重点管控区管控要求。</w:t>
                  </w:r>
                </w:p>
              </w:tc>
            </w:tr>
          </w:tbl>
          <w:p w14:paraId="1C6DF16F">
            <w:pPr>
              <w:widowControl/>
              <w:spacing w:line="360" w:lineRule="auto"/>
              <w:ind w:firstLine="480" w:firstLineChars="200"/>
              <w:jc w:val="lef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②地表水环境：根据《</w:t>
            </w:r>
            <w:r>
              <w:rPr>
                <w:rFonts w:hint="eastAsia" w:ascii="仿宋" w:hAnsi="仿宋" w:eastAsia="仿宋" w:cs="仿宋"/>
                <w:color w:val="auto"/>
                <w:kern w:val="0"/>
                <w:sz w:val="24"/>
                <w:lang w:eastAsia="zh-CN" w:bidi="ar"/>
              </w:rPr>
              <w:t>2023年淮南市生态环境质量状况公报</w:t>
            </w:r>
            <w:r>
              <w:rPr>
                <w:rFonts w:hint="eastAsia" w:ascii="仿宋" w:hAnsi="仿宋" w:eastAsia="仿宋" w:cs="仿宋"/>
                <w:color w:val="auto"/>
                <w:kern w:val="0"/>
                <w:sz w:val="24"/>
                <w:lang w:bidi="ar"/>
              </w:rPr>
              <w:t>》，淮河干流水质状况为优。根据</w:t>
            </w:r>
            <w:r>
              <w:rPr>
                <w:rFonts w:hint="eastAsia" w:ascii="仿宋" w:hAnsi="仿宋" w:eastAsia="仿宋" w:cs="仿宋"/>
                <w:color w:val="auto"/>
                <w:kern w:val="0"/>
                <w:sz w:val="24"/>
                <w:lang w:eastAsia="zh-CN" w:bidi="ar"/>
              </w:rPr>
              <w:t>淮南市生态环境分区管控成果动态更新图集-淮南市水环境分区管控图</w:t>
            </w:r>
            <w:r>
              <w:rPr>
                <w:rFonts w:hint="eastAsia" w:ascii="仿宋" w:hAnsi="仿宋" w:eastAsia="仿宋" w:cs="仿宋"/>
                <w:color w:val="auto"/>
                <w:kern w:val="0"/>
                <w:sz w:val="24"/>
                <w:lang w:bidi="ar"/>
              </w:rPr>
              <w:t>，本项目位于工业污染重点管控区（附图</w:t>
            </w:r>
            <w:r>
              <w:rPr>
                <w:rFonts w:hint="eastAsia" w:ascii="仿宋" w:hAnsi="仿宋" w:eastAsia="仿宋" w:cs="仿宋"/>
                <w:color w:val="auto"/>
                <w:kern w:val="0"/>
                <w:sz w:val="24"/>
                <w:lang w:val="en-US" w:eastAsia="zh-CN" w:bidi="ar"/>
              </w:rPr>
              <w:t>7</w:t>
            </w:r>
            <w:r>
              <w:rPr>
                <w:rFonts w:hint="eastAsia" w:ascii="仿宋" w:hAnsi="仿宋" w:eastAsia="仿宋" w:cs="仿宋"/>
                <w:color w:val="auto"/>
                <w:kern w:val="0"/>
                <w:sz w:val="24"/>
                <w:lang w:bidi="ar"/>
              </w:rPr>
              <w:t>）。</w:t>
            </w:r>
          </w:p>
          <w:p w14:paraId="50F27D30">
            <w:pPr>
              <w:adjustRightInd w:val="0"/>
              <w:spacing w:line="240" w:lineRule="auto"/>
              <w:jc w:val="center"/>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表</w:t>
            </w:r>
            <w:r>
              <w:rPr>
                <w:rFonts w:hint="eastAsia" w:ascii="仿宋" w:hAnsi="仿宋" w:eastAsia="仿宋" w:cs="仿宋"/>
                <w:b/>
                <w:bCs w:val="0"/>
                <w:color w:val="auto"/>
                <w:sz w:val="21"/>
                <w:szCs w:val="21"/>
                <w:lang w:val="en-US" w:eastAsia="zh-CN"/>
              </w:rPr>
              <w:t xml:space="preserve">1-5 </w:t>
            </w:r>
            <w:r>
              <w:rPr>
                <w:rFonts w:hint="eastAsia" w:ascii="仿宋" w:hAnsi="仿宋" w:eastAsia="仿宋" w:cs="仿宋"/>
                <w:b/>
                <w:bCs w:val="0"/>
                <w:color w:val="auto"/>
                <w:sz w:val="21"/>
                <w:szCs w:val="21"/>
              </w:rPr>
              <w:t>与水环境分区管控要求的协调性分析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3894"/>
              <w:gridCol w:w="2413"/>
            </w:tblGrid>
            <w:tr w14:paraId="7DCF68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4" w:type="pct"/>
                  <w:tcBorders>
                    <w:top w:val="single" w:color="auto" w:sz="12" w:space="0"/>
                    <w:left w:val="nil"/>
                    <w:bottom w:val="single" w:color="auto" w:sz="6" w:space="0"/>
                    <w:right w:val="single" w:color="auto" w:sz="6" w:space="0"/>
                  </w:tcBorders>
                  <w:vAlign w:val="center"/>
                </w:tcPr>
                <w:p w14:paraId="7248B3BB">
                  <w:pPr>
                    <w:spacing w:line="276"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管控单元分类</w:t>
                  </w:r>
                </w:p>
              </w:tc>
              <w:tc>
                <w:tcPr>
                  <w:tcW w:w="2602" w:type="pct"/>
                  <w:tcBorders>
                    <w:top w:val="single" w:color="auto" w:sz="12" w:space="0"/>
                    <w:left w:val="single" w:color="auto" w:sz="6" w:space="0"/>
                    <w:bottom w:val="single" w:color="auto" w:sz="6" w:space="0"/>
                    <w:right w:val="single" w:color="auto" w:sz="6" w:space="0"/>
                  </w:tcBorders>
                  <w:vAlign w:val="center"/>
                </w:tcPr>
                <w:p w14:paraId="589B96AD">
                  <w:pPr>
                    <w:spacing w:line="276"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环境管控要求</w:t>
                  </w:r>
                </w:p>
              </w:tc>
              <w:tc>
                <w:tcPr>
                  <w:tcW w:w="1613" w:type="pct"/>
                  <w:tcBorders>
                    <w:top w:val="single" w:color="auto" w:sz="12" w:space="0"/>
                    <w:left w:val="single" w:color="auto" w:sz="6" w:space="0"/>
                    <w:bottom w:val="single" w:color="auto" w:sz="6" w:space="0"/>
                    <w:right w:val="nil"/>
                  </w:tcBorders>
                  <w:vAlign w:val="center"/>
                </w:tcPr>
                <w:p w14:paraId="250FD864">
                  <w:pPr>
                    <w:spacing w:line="276"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协调性分析</w:t>
                  </w:r>
                </w:p>
              </w:tc>
            </w:tr>
            <w:tr w14:paraId="7E6FB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4" w:type="pct"/>
                  <w:tcBorders>
                    <w:top w:val="single" w:color="auto" w:sz="6" w:space="0"/>
                    <w:left w:val="nil"/>
                    <w:bottom w:val="single" w:color="auto" w:sz="12" w:space="0"/>
                    <w:right w:val="single" w:color="auto" w:sz="6" w:space="0"/>
                  </w:tcBorders>
                  <w:vAlign w:val="center"/>
                </w:tcPr>
                <w:p w14:paraId="5A811C05">
                  <w:pPr>
                    <w:spacing w:line="276" w:lineRule="auto"/>
                    <w:jc w:val="center"/>
                    <w:rPr>
                      <w:rFonts w:hint="eastAsia" w:ascii="仿宋" w:hAnsi="仿宋" w:eastAsia="仿宋" w:cs="仿宋"/>
                      <w:bCs/>
                      <w:color w:val="auto"/>
                      <w:kern w:val="2"/>
                      <w:sz w:val="21"/>
                      <w:szCs w:val="21"/>
                    </w:rPr>
                  </w:pPr>
                  <w:r>
                    <w:rPr>
                      <w:rFonts w:hint="eastAsia" w:ascii="仿宋" w:hAnsi="仿宋" w:eastAsia="仿宋" w:cs="仿宋"/>
                      <w:bCs/>
                      <w:color w:val="auto"/>
                      <w:kern w:val="2"/>
                      <w:sz w:val="21"/>
                      <w:szCs w:val="21"/>
                    </w:rPr>
                    <w:t>重点管控区</w:t>
                  </w:r>
                </w:p>
              </w:tc>
              <w:tc>
                <w:tcPr>
                  <w:tcW w:w="2602" w:type="pct"/>
                  <w:tcBorders>
                    <w:top w:val="single" w:color="auto" w:sz="6" w:space="0"/>
                    <w:left w:val="single" w:color="auto" w:sz="6" w:space="0"/>
                    <w:bottom w:val="single" w:color="auto" w:sz="12" w:space="0"/>
                    <w:right w:val="single" w:color="auto" w:sz="6" w:space="0"/>
                  </w:tcBorders>
                  <w:vAlign w:val="center"/>
                </w:tcPr>
                <w:p w14:paraId="1D29F18D">
                  <w:pPr>
                    <w:spacing w:line="276" w:lineRule="auto"/>
                    <w:jc w:val="center"/>
                    <w:rPr>
                      <w:rFonts w:hint="eastAsia" w:ascii="仿宋" w:hAnsi="仿宋" w:eastAsia="仿宋" w:cs="仿宋"/>
                      <w:bCs/>
                      <w:color w:val="auto"/>
                      <w:kern w:val="2"/>
                      <w:sz w:val="21"/>
                      <w:szCs w:val="21"/>
                      <w:lang w:bidi="en-US"/>
                    </w:rPr>
                  </w:pPr>
                  <w:r>
                    <w:rPr>
                      <w:rFonts w:hint="eastAsia" w:ascii="仿宋" w:hAnsi="仿宋" w:eastAsia="仿宋" w:cs="仿宋"/>
                      <w:bCs/>
                      <w:color w:val="auto"/>
                      <w:kern w:val="2"/>
                      <w:sz w:val="21"/>
                      <w:szCs w:val="21"/>
                      <w:highlight w:val="none"/>
                      <w:lang w:val="en-US" w:eastAsia="zh-CN" w:bidi="en-US"/>
                    </w:rPr>
                    <w:t>依据《中华人民共和国水污染防治法》《水污染防治行动计划》《安徽省水污染防治工作方案》及《淮南市水生态环境保护“十四五”规划》（淮环通[2022]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tc>
              <w:tc>
                <w:tcPr>
                  <w:tcW w:w="1613" w:type="pct"/>
                  <w:tcBorders>
                    <w:top w:val="single" w:color="auto" w:sz="6" w:space="0"/>
                    <w:left w:val="single" w:color="auto" w:sz="6" w:space="0"/>
                    <w:bottom w:val="single" w:color="auto" w:sz="12" w:space="0"/>
                    <w:right w:val="nil"/>
                  </w:tcBorders>
                  <w:vAlign w:val="center"/>
                </w:tcPr>
                <w:p w14:paraId="2668F58B">
                  <w:pPr>
                    <w:spacing w:line="276" w:lineRule="auto"/>
                    <w:jc w:val="center"/>
                    <w:rPr>
                      <w:rFonts w:hint="default" w:ascii="仿宋" w:hAnsi="仿宋" w:eastAsia="仿宋" w:cs="仿宋"/>
                      <w:bCs/>
                      <w:color w:val="auto"/>
                      <w:kern w:val="2"/>
                      <w:sz w:val="21"/>
                      <w:szCs w:val="21"/>
                      <w:lang w:val="en-US"/>
                    </w:rPr>
                  </w:pPr>
                  <w:r>
                    <w:rPr>
                      <w:rFonts w:hint="eastAsia" w:ascii="仿宋" w:hAnsi="仿宋" w:eastAsia="仿宋" w:cs="仿宋"/>
                      <w:bCs/>
                      <w:color w:val="auto"/>
                      <w:kern w:val="2"/>
                      <w:sz w:val="21"/>
                      <w:szCs w:val="21"/>
                      <w:highlight w:val="none"/>
                      <w:lang w:val="en-US" w:eastAsia="zh-CN" w:bidi="en-US"/>
                    </w:rPr>
                    <w:t>本项目严格落实上述文件要求，生活污水依托厂区现有化粪池后进入上窑工业聚集区污水处理厂处理，喷淋废水、洗车废水回用不外排。</w:t>
                  </w:r>
                </w:p>
              </w:tc>
            </w:tr>
          </w:tbl>
          <w:p w14:paraId="0BC3544B">
            <w:pPr>
              <w:widowControl/>
              <w:spacing w:line="360" w:lineRule="auto"/>
              <w:ind w:firstLine="480" w:firstLineChars="200"/>
              <w:jc w:val="lef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③土壤及地下水：根据</w:t>
            </w:r>
            <w:r>
              <w:rPr>
                <w:rFonts w:hint="eastAsia" w:ascii="仿宋" w:hAnsi="仿宋" w:eastAsia="仿宋" w:cs="仿宋"/>
                <w:color w:val="auto"/>
                <w:kern w:val="0"/>
                <w:sz w:val="24"/>
                <w:lang w:eastAsia="zh-CN" w:bidi="ar"/>
              </w:rPr>
              <w:t>淮南市生态环境分区管控成果动态更新图集-淮南市土壤环境风险分区管控图</w:t>
            </w:r>
            <w:r>
              <w:rPr>
                <w:rFonts w:hint="eastAsia" w:ascii="仿宋" w:hAnsi="仿宋" w:eastAsia="仿宋" w:cs="仿宋"/>
                <w:color w:val="auto"/>
                <w:kern w:val="0"/>
                <w:sz w:val="24"/>
                <w:lang w:bidi="ar"/>
              </w:rPr>
              <w:t>，本项目位于</w:t>
            </w:r>
            <w:r>
              <w:rPr>
                <w:rFonts w:hint="default" w:ascii="仿宋" w:hAnsi="仿宋" w:eastAsia="仿宋" w:cs="仿宋"/>
                <w:color w:val="auto"/>
                <w:sz w:val="24"/>
                <w:szCs w:val="24"/>
                <w:lang w:val="en-US" w:eastAsia="zh-CN"/>
              </w:rPr>
              <w:t>建设用地污染风险重点管控区</w:t>
            </w:r>
            <w:r>
              <w:rPr>
                <w:rFonts w:hint="eastAsia" w:ascii="仿宋" w:hAnsi="仿宋" w:eastAsia="仿宋" w:cs="仿宋"/>
                <w:color w:val="auto"/>
                <w:kern w:val="0"/>
                <w:sz w:val="24"/>
                <w:lang w:bidi="ar"/>
              </w:rPr>
              <w:t>（附图</w:t>
            </w:r>
            <w:r>
              <w:rPr>
                <w:rFonts w:hint="eastAsia" w:ascii="仿宋" w:hAnsi="仿宋" w:eastAsia="仿宋" w:cs="仿宋"/>
                <w:color w:val="auto"/>
                <w:kern w:val="0"/>
                <w:sz w:val="24"/>
                <w:lang w:val="en-US" w:eastAsia="zh-CN" w:bidi="ar"/>
              </w:rPr>
              <w:t>8</w:t>
            </w:r>
            <w:r>
              <w:rPr>
                <w:rFonts w:hint="eastAsia" w:ascii="仿宋" w:hAnsi="仿宋" w:eastAsia="仿宋" w:cs="仿宋"/>
                <w:color w:val="auto"/>
                <w:kern w:val="0"/>
                <w:sz w:val="24"/>
                <w:lang w:bidi="ar"/>
              </w:rPr>
              <w:t>）。</w:t>
            </w:r>
          </w:p>
          <w:p w14:paraId="71018804">
            <w:pPr>
              <w:adjustRightInd w:val="0"/>
              <w:spacing w:line="240" w:lineRule="auto"/>
              <w:jc w:val="center"/>
              <w:rPr>
                <w:rFonts w:hint="eastAsia" w:ascii="仿宋" w:hAnsi="仿宋" w:eastAsia="仿宋" w:cs="仿宋"/>
                <w:b/>
                <w:bCs w:val="0"/>
                <w:color w:val="auto"/>
                <w:sz w:val="21"/>
                <w:szCs w:val="21"/>
              </w:rPr>
            </w:pPr>
            <w:r>
              <w:rPr>
                <w:rFonts w:hint="eastAsia" w:ascii="仿宋" w:hAnsi="仿宋" w:eastAsia="仿宋" w:cs="仿宋"/>
                <w:b/>
                <w:bCs w:val="0"/>
                <w:color w:val="auto"/>
                <w:sz w:val="21"/>
                <w:szCs w:val="21"/>
              </w:rPr>
              <w:t>表</w:t>
            </w:r>
            <w:r>
              <w:rPr>
                <w:rFonts w:hint="eastAsia" w:ascii="仿宋" w:hAnsi="仿宋" w:eastAsia="仿宋" w:cs="仿宋"/>
                <w:b/>
                <w:bCs w:val="0"/>
                <w:color w:val="auto"/>
                <w:sz w:val="21"/>
                <w:szCs w:val="21"/>
                <w:lang w:val="en-US" w:eastAsia="zh-CN"/>
              </w:rPr>
              <w:t xml:space="preserve">1-6 </w:t>
            </w:r>
            <w:r>
              <w:rPr>
                <w:rFonts w:hint="eastAsia" w:ascii="仿宋" w:hAnsi="仿宋" w:eastAsia="仿宋" w:cs="仿宋"/>
                <w:b/>
                <w:bCs w:val="0"/>
                <w:color w:val="auto"/>
                <w:sz w:val="21"/>
                <w:szCs w:val="21"/>
              </w:rPr>
              <w:t>与土壤环境分区管控要求的协调性分析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4226"/>
              <w:gridCol w:w="2134"/>
            </w:tblGrid>
            <w:tr w14:paraId="4C0A5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8" w:type="pct"/>
                  <w:tcBorders>
                    <w:top w:val="single" w:color="auto" w:sz="12" w:space="0"/>
                    <w:left w:val="nil"/>
                    <w:bottom w:val="single" w:color="auto" w:sz="6" w:space="0"/>
                    <w:right w:val="single" w:color="auto" w:sz="6" w:space="0"/>
                  </w:tcBorders>
                  <w:vAlign w:val="center"/>
                </w:tcPr>
                <w:p w14:paraId="4B5A392F">
                  <w:pPr>
                    <w:spacing w:line="240"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管控单元分类</w:t>
                  </w:r>
                </w:p>
              </w:tc>
              <w:tc>
                <w:tcPr>
                  <w:tcW w:w="2824" w:type="pct"/>
                  <w:tcBorders>
                    <w:top w:val="single" w:color="auto" w:sz="12" w:space="0"/>
                    <w:left w:val="single" w:color="auto" w:sz="6" w:space="0"/>
                    <w:bottom w:val="single" w:color="auto" w:sz="6" w:space="0"/>
                    <w:right w:val="single" w:color="auto" w:sz="6" w:space="0"/>
                  </w:tcBorders>
                  <w:vAlign w:val="center"/>
                </w:tcPr>
                <w:p w14:paraId="06C0E639">
                  <w:pPr>
                    <w:spacing w:line="240"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环境管控要求</w:t>
                  </w:r>
                </w:p>
              </w:tc>
              <w:tc>
                <w:tcPr>
                  <w:tcW w:w="1426" w:type="pct"/>
                  <w:tcBorders>
                    <w:top w:val="single" w:color="auto" w:sz="12" w:space="0"/>
                    <w:left w:val="single" w:color="auto" w:sz="6" w:space="0"/>
                    <w:bottom w:val="single" w:color="auto" w:sz="6" w:space="0"/>
                    <w:right w:val="nil"/>
                  </w:tcBorders>
                  <w:vAlign w:val="center"/>
                </w:tcPr>
                <w:p w14:paraId="2B34653B">
                  <w:pPr>
                    <w:spacing w:line="240" w:lineRule="auto"/>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协调性分析</w:t>
                  </w:r>
                </w:p>
              </w:tc>
            </w:tr>
            <w:tr w14:paraId="2CDC1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8" w:type="pct"/>
                  <w:tcBorders>
                    <w:top w:val="single" w:color="auto" w:sz="6" w:space="0"/>
                    <w:left w:val="nil"/>
                    <w:bottom w:val="single" w:color="auto" w:sz="12" w:space="0"/>
                    <w:right w:val="single" w:color="auto" w:sz="6" w:space="0"/>
                  </w:tcBorders>
                  <w:vAlign w:val="center"/>
                </w:tcPr>
                <w:p w14:paraId="10657FF1">
                  <w:pPr>
                    <w:spacing w:line="240" w:lineRule="auto"/>
                    <w:jc w:val="center"/>
                    <w:rPr>
                      <w:rFonts w:hint="default" w:ascii="仿宋" w:hAnsi="仿宋" w:eastAsia="仿宋" w:cs="仿宋"/>
                      <w:bCs/>
                      <w:color w:val="auto"/>
                      <w:kern w:val="2"/>
                      <w:sz w:val="21"/>
                      <w:szCs w:val="21"/>
                      <w:lang w:val="en-US" w:eastAsia="zh-CN"/>
                    </w:rPr>
                  </w:pPr>
                  <w:r>
                    <w:rPr>
                      <w:rFonts w:hint="eastAsia" w:ascii="仿宋" w:hAnsi="仿宋" w:eastAsia="仿宋" w:cs="仿宋"/>
                      <w:bCs/>
                      <w:color w:val="auto"/>
                      <w:kern w:val="2"/>
                      <w:sz w:val="21"/>
                      <w:szCs w:val="21"/>
                      <w:lang w:val="en-US" w:eastAsia="zh-CN"/>
                    </w:rPr>
                    <w:t>一般管控区</w:t>
                  </w:r>
                </w:p>
              </w:tc>
              <w:tc>
                <w:tcPr>
                  <w:tcW w:w="2824" w:type="pct"/>
                  <w:tcBorders>
                    <w:top w:val="single" w:color="auto" w:sz="6" w:space="0"/>
                    <w:left w:val="single" w:color="auto" w:sz="6" w:space="0"/>
                    <w:bottom w:val="single" w:color="auto" w:sz="12" w:space="0"/>
                    <w:right w:val="single" w:color="auto" w:sz="6" w:space="0"/>
                  </w:tcBorders>
                  <w:vAlign w:val="center"/>
                </w:tcPr>
                <w:p w14:paraId="550CEF5B">
                  <w:pPr>
                    <w:keepNext w:val="0"/>
                    <w:keepLines w:val="0"/>
                    <w:widowControl/>
                    <w:suppressLineNumbers w:val="0"/>
                    <w:jc w:val="left"/>
                    <w:textAlignment w:val="center"/>
                    <w:rPr>
                      <w:rFonts w:hint="eastAsia" w:ascii="仿宋" w:hAnsi="仿宋" w:eastAsia="仿宋" w:cs="仿宋"/>
                      <w:bCs/>
                      <w:color w:val="auto"/>
                      <w:kern w:val="2"/>
                      <w:sz w:val="21"/>
                      <w:szCs w:val="21"/>
                      <w:lang w:eastAsia="zh-CN" w:bidi="en-US"/>
                    </w:rPr>
                  </w:pPr>
                  <w:r>
                    <w:rPr>
                      <w:rFonts w:hint="eastAsia" w:ascii="仿宋" w:hAnsi="仿宋" w:eastAsia="仿宋" w:cs="仿宋"/>
                      <w:i w:val="0"/>
                      <w:iCs w:val="0"/>
                      <w:color w:val="auto"/>
                      <w:kern w:val="0"/>
                      <w:sz w:val="21"/>
                      <w:szCs w:val="21"/>
                      <w:u w:val="none"/>
                      <w:lang w:val="en-US" w:eastAsia="zh-CN" w:bidi="ar"/>
                    </w:rPr>
                    <w:t>落实《中华人民共和国土壤污染防治法》、《土壤污染防治行动计划》《农用地土壤环境管理办法（试行）》、《工矿用地土壤环境管理办法（试行）》、《安徽省“十四五”环境保护规划》、《安徽省土壤污染防治工作方案》、《安徽省“十四五”土壤、地下水和农村生态环境保护规划》、《安徽省土壤污染防治工作方案》、《生态环境部关于进一步加强重金属污染防控的意见》等要求，防止土壤污染风险。</w:t>
                  </w:r>
                </w:p>
              </w:tc>
              <w:tc>
                <w:tcPr>
                  <w:tcW w:w="1426" w:type="pct"/>
                  <w:tcBorders>
                    <w:top w:val="single" w:color="auto" w:sz="6" w:space="0"/>
                    <w:left w:val="single" w:color="auto" w:sz="6" w:space="0"/>
                    <w:bottom w:val="single" w:color="auto" w:sz="12" w:space="0"/>
                    <w:right w:val="nil"/>
                  </w:tcBorders>
                  <w:vAlign w:val="center"/>
                </w:tcPr>
                <w:p w14:paraId="774F9315">
                  <w:pPr>
                    <w:keepNext w:val="0"/>
                    <w:keepLines w:val="0"/>
                    <w:widowControl/>
                    <w:suppressLineNumbers w:val="0"/>
                    <w:jc w:val="left"/>
                    <w:textAlignment w:val="center"/>
                    <w:rPr>
                      <w:rFonts w:hint="eastAsia" w:ascii="仿宋" w:hAnsi="仿宋" w:eastAsia="仿宋" w:cs="仿宋"/>
                      <w:bCs/>
                      <w:color w:val="auto"/>
                      <w:kern w:val="2"/>
                      <w:sz w:val="21"/>
                      <w:szCs w:val="21"/>
                    </w:rPr>
                  </w:pPr>
                  <w:r>
                    <w:rPr>
                      <w:rFonts w:hint="eastAsia" w:ascii="仿宋" w:hAnsi="仿宋" w:eastAsia="仿宋" w:cs="仿宋"/>
                      <w:i w:val="0"/>
                      <w:iCs w:val="0"/>
                      <w:color w:val="auto"/>
                      <w:kern w:val="0"/>
                      <w:sz w:val="21"/>
                      <w:szCs w:val="21"/>
                      <w:highlight w:val="none"/>
                      <w:u w:val="none"/>
                      <w:lang w:val="en-US" w:eastAsia="zh-CN" w:bidi="ar"/>
                    </w:rPr>
                    <w:t>本项目产生的一般固废以及危险废物均进行安全处置，其中危险废物暂存于危废仓库内，定期委托有危废处理资质的企业处理。</w:t>
                  </w:r>
                </w:p>
              </w:tc>
            </w:tr>
          </w:tbl>
          <w:p w14:paraId="2566EF9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kern w:val="0"/>
                <w:sz w:val="24"/>
                <w:lang w:bidi="ar"/>
              </w:rPr>
              <w:t>（3）资源利用上线</w:t>
            </w:r>
          </w:p>
          <w:p w14:paraId="1CB71162">
            <w:pPr>
              <w:widowControl/>
              <w:spacing w:line="360" w:lineRule="auto"/>
              <w:ind w:firstLine="480" w:firstLineChars="200"/>
              <w:jc w:val="both"/>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bidi="ar"/>
              </w:rPr>
              <w:t>本项目营运过程中会消耗一定量的电源、水资源</w:t>
            </w:r>
            <w:r>
              <w:rPr>
                <w:rFonts w:hint="eastAsia" w:ascii="仿宋" w:hAnsi="仿宋" w:eastAsia="仿宋" w:cs="仿宋"/>
                <w:color w:val="auto"/>
                <w:kern w:val="0"/>
                <w:sz w:val="24"/>
                <w:highlight w:val="none"/>
                <w:lang w:eastAsia="zh-CN" w:bidi="ar"/>
              </w:rPr>
              <w:t>，本项目年消耗自来水</w:t>
            </w:r>
            <w:r>
              <w:rPr>
                <w:rFonts w:hint="eastAsia" w:ascii="仿宋" w:hAnsi="仿宋" w:eastAsia="仿宋" w:cs="仿宋"/>
                <w:color w:val="auto"/>
                <w:kern w:val="0"/>
                <w:sz w:val="24"/>
                <w:highlight w:val="none"/>
                <w:lang w:val="en-US" w:eastAsia="zh-CN" w:bidi="ar"/>
              </w:rPr>
              <w:t>1683m³，电100万千瓦时，则单位GDP能耗为0.0204吨标准煤/万元，低于安徽省平均水平0.468吨标准煤/万元，万元工业增加值用水量0.2805立方，低于《安徽省水利发展“十四五”规划》中24.192m³的约束性要求。</w:t>
            </w:r>
          </w:p>
          <w:p w14:paraId="54A4C90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kern w:val="0"/>
                <w:sz w:val="24"/>
                <w:lang w:eastAsia="zh-CN" w:bidi="ar"/>
              </w:rPr>
              <w:t>故本项目</w:t>
            </w:r>
            <w:r>
              <w:rPr>
                <w:rFonts w:hint="eastAsia" w:ascii="仿宋" w:hAnsi="仿宋" w:eastAsia="仿宋" w:cs="仿宋"/>
                <w:color w:val="auto"/>
                <w:kern w:val="0"/>
                <w:sz w:val="24"/>
                <w:lang w:bidi="ar"/>
              </w:rPr>
              <w:t>符合资源利用上线的要求。</w:t>
            </w:r>
          </w:p>
          <w:p w14:paraId="46CF225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kern w:val="0"/>
                <w:sz w:val="24"/>
                <w:lang w:bidi="ar"/>
              </w:rPr>
              <w:t>（4）环境准入清单</w:t>
            </w:r>
          </w:p>
          <w:p w14:paraId="1A6D1569">
            <w:pPr>
              <w:widowControl/>
              <w:spacing w:line="360" w:lineRule="auto"/>
              <w:ind w:firstLine="480" w:firstLineChars="200"/>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项目位于</w:t>
            </w:r>
            <w:r>
              <w:rPr>
                <w:rFonts w:hint="eastAsia" w:ascii="仿宋" w:hAnsi="仿宋" w:eastAsia="仿宋" w:cs="仿宋"/>
                <w:color w:val="auto"/>
                <w:sz w:val="24"/>
                <w:szCs w:val="24"/>
                <w:lang w:val="en-US" w:eastAsia="zh-CN"/>
              </w:rPr>
              <w:t>安徽省淮南市大通区上窑镇206国道北侧上窑工业集聚区内，属于上窑工业集聚区</w:t>
            </w:r>
            <w:r>
              <w:rPr>
                <w:rFonts w:hint="eastAsia" w:ascii="仿宋" w:hAnsi="仿宋" w:eastAsia="仿宋" w:cs="仿宋"/>
                <w:color w:val="auto"/>
                <w:kern w:val="0"/>
                <w:sz w:val="24"/>
                <w:lang w:eastAsia="zh-CN" w:bidi="ar"/>
              </w:rPr>
              <w:t>。</w:t>
            </w:r>
          </w:p>
          <w:p w14:paraId="4E176A48">
            <w:pPr>
              <w:widowControl/>
              <w:spacing w:line="360" w:lineRule="auto"/>
              <w:ind w:firstLine="480" w:firstLineChars="200"/>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根据《</w:t>
            </w:r>
            <w:r>
              <w:rPr>
                <w:rFonts w:hint="eastAsia" w:ascii="仿宋" w:hAnsi="仿宋" w:eastAsia="仿宋" w:cs="仿宋"/>
                <w:color w:val="auto"/>
                <w:sz w:val="24"/>
              </w:rPr>
              <w:t>淮南市大通区上窑工业集聚区规划环境影响报告书</w:t>
            </w:r>
            <w:r>
              <w:rPr>
                <w:rFonts w:hint="eastAsia" w:ascii="仿宋" w:hAnsi="仿宋" w:eastAsia="仿宋" w:cs="仿宋"/>
                <w:color w:val="auto"/>
                <w:kern w:val="0"/>
                <w:sz w:val="24"/>
                <w:lang w:bidi="ar"/>
              </w:rPr>
              <w:t>》，淮南市</w:t>
            </w:r>
            <w:r>
              <w:rPr>
                <w:rFonts w:hint="eastAsia" w:ascii="仿宋" w:hAnsi="仿宋" w:eastAsia="仿宋" w:cs="仿宋"/>
                <w:color w:val="auto"/>
                <w:sz w:val="24"/>
              </w:rPr>
              <w:t>大通区上窑工业集聚区</w:t>
            </w:r>
            <w:r>
              <w:rPr>
                <w:rFonts w:hint="eastAsia" w:ascii="仿宋" w:hAnsi="仿宋" w:eastAsia="仿宋" w:cs="仿宋"/>
                <w:color w:val="auto"/>
                <w:sz w:val="24"/>
                <w:lang w:val="en-US" w:eastAsia="zh-CN"/>
              </w:rPr>
              <w:t>负面清单</w:t>
            </w:r>
            <w:r>
              <w:rPr>
                <w:rFonts w:hint="eastAsia" w:ascii="仿宋" w:hAnsi="仿宋" w:eastAsia="仿宋" w:cs="仿宋"/>
                <w:color w:val="auto"/>
                <w:sz w:val="24"/>
              </w:rPr>
              <w:t>如下</w:t>
            </w:r>
            <w:r>
              <w:rPr>
                <w:rFonts w:hint="eastAsia" w:ascii="仿宋" w:hAnsi="仿宋" w:eastAsia="仿宋" w:cs="仿宋"/>
                <w:color w:val="auto"/>
                <w:kern w:val="0"/>
                <w:sz w:val="24"/>
                <w:lang w:bidi="ar"/>
              </w:rPr>
              <w:t>：</w:t>
            </w:r>
          </w:p>
          <w:p w14:paraId="2F26A643">
            <w:pPr>
              <w:pStyle w:val="28"/>
              <w:spacing w:before="0" w:beforeAutospacing="0" w:after="0" w:afterAutospacing="0" w:line="360" w:lineRule="auto"/>
              <w:ind w:firstLine="480" w:firstLineChars="200"/>
              <w:jc w:val="both"/>
              <w:rPr>
                <w:rFonts w:hint="eastAsia" w:ascii="仿宋" w:hAnsi="仿宋" w:eastAsia="仿宋" w:cs="仿宋"/>
                <w:color w:val="auto"/>
              </w:rPr>
            </w:pPr>
            <w:r>
              <w:rPr>
                <w:rFonts w:hint="eastAsia" w:ascii="仿宋" w:hAnsi="仿宋" w:eastAsia="仿宋" w:cs="仿宋"/>
                <w:color w:val="auto"/>
              </w:rPr>
              <w:t>①国家明令禁止建设或投资的、不符合《产业结构调整指导目录（2011年本）》要求的建设项目不得进入集聚区。</w:t>
            </w:r>
          </w:p>
          <w:p w14:paraId="0327EBEB">
            <w:pPr>
              <w:pStyle w:val="28"/>
              <w:spacing w:before="0" w:beforeAutospacing="0" w:after="0" w:afterAutospacing="0" w:line="360" w:lineRule="auto"/>
              <w:ind w:firstLine="480" w:firstLineChars="200"/>
              <w:jc w:val="both"/>
              <w:rPr>
                <w:rFonts w:hint="eastAsia" w:ascii="仿宋" w:hAnsi="仿宋" w:eastAsia="仿宋" w:cs="仿宋"/>
                <w:color w:val="auto"/>
              </w:rPr>
            </w:pPr>
            <w:r>
              <w:rPr>
                <w:rFonts w:hint="eastAsia" w:ascii="仿宋" w:hAnsi="仿宋" w:eastAsia="仿宋" w:cs="仿宋"/>
                <w:color w:val="auto"/>
              </w:rPr>
              <w:t>②污水排放量大的印染、化工等建设项目不得进入集聚区。</w:t>
            </w:r>
          </w:p>
          <w:p w14:paraId="5CA4142D">
            <w:pPr>
              <w:pStyle w:val="28"/>
              <w:spacing w:before="0" w:beforeAutospacing="0" w:after="0" w:afterAutospacing="0" w:line="360" w:lineRule="auto"/>
              <w:ind w:firstLine="480" w:firstLineChars="200"/>
              <w:jc w:val="both"/>
              <w:rPr>
                <w:rFonts w:hint="eastAsia" w:ascii="仿宋" w:hAnsi="仿宋" w:eastAsia="仿宋" w:cs="仿宋"/>
                <w:color w:val="auto"/>
              </w:rPr>
            </w:pPr>
            <w:r>
              <w:rPr>
                <w:rFonts w:hint="eastAsia" w:ascii="仿宋" w:hAnsi="仿宋" w:eastAsia="仿宋" w:cs="仿宋"/>
                <w:color w:val="auto"/>
              </w:rPr>
              <w:t>③不符合集聚区环境保护目标的项目不得进入集聚区。</w:t>
            </w:r>
          </w:p>
          <w:p w14:paraId="7374EC22">
            <w:pPr>
              <w:pStyle w:val="28"/>
              <w:spacing w:before="0" w:beforeAutospacing="0" w:after="0" w:afterAutospacing="0" w:line="360" w:lineRule="auto"/>
              <w:ind w:firstLine="480" w:firstLineChars="200"/>
              <w:jc w:val="both"/>
              <w:rPr>
                <w:rFonts w:hint="eastAsia" w:ascii="仿宋" w:hAnsi="仿宋" w:eastAsia="仿宋" w:cs="仿宋"/>
                <w:color w:val="auto"/>
              </w:rPr>
            </w:pPr>
            <w:r>
              <w:rPr>
                <w:rFonts w:hint="eastAsia" w:ascii="仿宋" w:hAnsi="仿宋" w:eastAsia="仿宋" w:cs="仿宋"/>
                <w:color w:val="auto"/>
              </w:rPr>
              <w:t>④不符合《淮河流域水污染防治暂行条例》和《安徽省淮河流域水污染防治条例》要求的建设项目不得入驻集聚区。</w:t>
            </w:r>
          </w:p>
          <w:p w14:paraId="4EE8999D">
            <w:pPr>
              <w:pStyle w:val="28"/>
              <w:spacing w:before="0" w:beforeAutospacing="0" w:after="0" w:afterAutospacing="0" w:line="360" w:lineRule="auto"/>
              <w:ind w:firstLine="480" w:firstLineChars="200"/>
              <w:jc w:val="both"/>
              <w:rPr>
                <w:rFonts w:hint="eastAsia" w:ascii="仿宋" w:hAnsi="仿宋" w:eastAsia="仿宋" w:cs="仿宋"/>
                <w:color w:val="auto"/>
              </w:rPr>
            </w:pPr>
            <w:r>
              <w:rPr>
                <w:rFonts w:hint="eastAsia" w:ascii="仿宋" w:hAnsi="仿宋" w:eastAsia="仿宋" w:cs="仿宋"/>
                <w:color w:val="auto"/>
              </w:rPr>
              <w:t>本项目属于</w:t>
            </w:r>
            <w:r>
              <w:rPr>
                <w:rFonts w:hint="eastAsia" w:ascii="仿宋" w:hAnsi="仿宋" w:eastAsia="仿宋" w:cs="仿宋"/>
                <w:color w:val="auto"/>
                <w:sz w:val="24"/>
                <w:szCs w:val="24"/>
                <w:highlight w:val="none"/>
                <w:lang w:val="en-US" w:eastAsia="zh-CN"/>
              </w:rPr>
              <w:t>N7723固体废物治理</w:t>
            </w:r>
            <w:r>
              <w:rPr>
                <w:rFonts w:hint="eastAsia" w:ascii="仿宋" w:hAnsi="仿宋" w:eastAsia="仿宋" w:cs="仿宋"/>
                <w:color w:val="auto"/>
              </w:rPr>
              <w:t>，</w:t>
            </w:r>
            <w:r>
              <w:rPr>
                <w:rFonts w:hint="default" w:ascii="仿宋" w:hAnsi="仿宋" w:eastAsia="仿宋" w:cs="仿宋"/>
                <w:color w:val="auto"/>
              </w:rPr>
              <w:t>根据《淮南市大通区上窑工业集聚区规划环境影响跟踪评价报告书》及其审查意见，项目不属于集聚区优先鼓励类项目、限制发展、禁止发展类项目</w:t>
            </w:r>
            <w:r>
              <w:rPr>
                <w:rFonts w:hint="eastAsia" w:ascii="仿宋" w:hAnsi="仿宋" w:eastAsia="仿宋" w:cs="仿宋"/>
                <w:color w:val="auto"/>
                <w:lang w:eastAsia="zh-CN"/>
              </w:rPr>
              <w:t>，</w:t>
            </w:r>
            <w:r>
              <w:rPr>
                <w:rFonts w:hint="eastAsia" w:ascii="仿宋" w:hAnsi="仿宋" w:eastAsia="仿宋" w:cs="仿宋"/>
                <w:color w:val="auto"/>
                <w:lang w:val="en-US" w:eastAsia="zh-CN"/>
              </w:rPr>
              <w:t>属于允许类</w:t>
            </w:r>
            <w:r>
              <w:rPr>
                <w:rFonts w:hint="default" w:ascii="仿宋" w:hAnsi="仿宋" w:eastAsia="仿宋" w:cs="仿宋"/>
                <w:color w:val="auto"/>
              </w:rPr>
              <w:t>。根据《淮南市“三线一单”生态环境准入清单》，本项目不属于禁止类、限制类和不符合空间布局要求活动的退出要求范围。</w:t>
            </w:r>
          </w:p>
          <w:p w14:paraId="386B4285">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rightChars="0"/>
              <w:jc w:val="left"/>
              <w:textAlignment w:val="auto"/>
              <w:rPr>
                <w:rFonts w:hint="default"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5、与国务院关于印发《空气质量持续改善行动计划》的通知相符性分析</w:t>
            </w:r>
          </w:p>
          <w:p w14:paraId="685E69C4">
            <w:pPr>
              <w:pStyle w:val="40"/>
              <w:jc w:val="center"/>
              <w:rPr>
                <w:rFonts w:hint="eastAsia" w:ascii="仿宋" w:hAnsi="仿宋" w:eastAsia="仿宋" w:cs="仿宋"/>
              </w:rPr>
            </w:pPr>
            <w:r>
              <w:rPr>
                <w:rFonts w:hint="eastAsia" w:ascii="仿宋" w:hAnsi="仿宋" w:eastAsia="仿宋" w:cs="仿宋"/>
                <w:b/>
                <w:bCs w:val="0"/>
                <w:color w:val="auto"/>
                <w:sz w:val="21"/>
                <w:szCs w:val="21"/>
              </w:rPr>
              <w:t>表</w:t>
            </w:r>
            <w:r>
              <w:rPr>
                <w:rFonts w:hint="eastAsia" w:ascii="仿宋" w:hAnsi="仿宋" w:eastAsia="仿宋" w:cs="仿宋"/>
                <w:b/>
                <w:bCs w:val="0"/>
                <w:color w:val="auto"/>
                <w:sz w:val="21"/>
                <w:szCs w:val="21"/>
                <w:lang w:val="en-US" w:eastAsia="zh-CN"/>
              </w:rPr>
              <w:t>1-7 国务院关于印发《空气质量持续改善行动计划》的通知相符性</w:t>
            </w:r>
            <w:r>
              <w:rPr>
                <w:rFonts w:hint="eastAsia" w:ascii="仿宋" w:hAnsi="仿宋" w:eastAsia="仿宋" w:cs="仿宋"/>
                <w:b/>
                <w:bCs w:val="0"/>
                <w:color w:val="auto"/>
                <w:sz w:val="21"/>
                <w:szCs w:val="21"/>
              </w:rPr>
              <w:t>分析</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098"/>
              <w:gridCol w:w="1557"/>
              <w:gridCol w:w="822"/>
            </w:tblGrid>
            <w:tr w14:paraId="2A6D69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3409" w:type="pct"/>
                  <w:tcBorders>
                    <w:tl2br w:val="nil"/>
                    <w:tr2bl w:val="nil"/>
                  </w:tcBorders>
                  <w:shd w:val="clear" w:color="auto" w:fill="auto"/>
                  <w:noWrap/>
                  <w:vAlign w:val="center"/>
                </w:tcPr>
                <w:p w14:paraId="38DB3BA0">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意见内容</w:t>
                  </w:r>
                </w:p>
              </w:tc>
              <w:tc>
                <w:tcPr>
                  <w:tcW w:w="1041" w:type="pct"/>
                  <w:tcBorders>
                    <w:tl2br w:val="nil"/>
                    <w:tr2bl w:val="nil"/>
                  </w:tcBorders>
                  <w:shd w:val="clear" w:color="auto" w:fill="auto"/>
                  <w:noWrap/>
                  <w:vAlign w:val="center"/>
                </w:tcPr>
                <w:p w14:paraId="157B07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本项目情况</w:t>
                  </w:r>
                </w:p>
              </w:tc>
              <w:tc>
                <w:tcPr>
                  <w:tcW w:w="549" w:type="pct"/>
                  <w:tcBorders>
                    <w:tl2br w:val="nil"/>
                    <w:tr2bl w:val="nil"/>
                  </w:tcBorders>
                  <w:shd w:val="clear" w:color="auto" w:fill="auto"/>
                  <w:noWrap/>
                  <w:vAlign w:val="center"/>
                </w:tcPr>
                <w:p w14:paraId="516CE5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符合性</w:t>
                  </w:r>
                </w:p>
              </w:tc>
            </w:tr>
            <w:tr w14:paraId="67E4F6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3D727A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严禁新增钢铁产能。推行钢铁、焦化、烧结一体化布局，大幅减少独立焦化、烧结、球团和热轧企业及工序，淘汰落后煤洗选产能;有序引导高炉一转炉长流程炼钢转型为电炉短流程炼钢。到2025年，短流程炼钢产量占比达15%。京津冀及周边地区继续实施“以钢定焦”，炼焦产能与长流程炼钢产能比控制在0.4左右。</w:t>
                  </w:r>
                </w:p>
              </w:tc>
              <w:tc>
                <w:tcPr>
                  <w:tcW w:w="1041" w:type="pct"/>
                  <w:tcBorders>
                    <w:tl2br w:val="nil"/>
                    <w:tr2bl w:val="nil"/>
                  </w:tcBorders>
                  <w:shd w:val="clear" w:color="auto" w:fill="auto"/>
                  <w:vAlign w:val="center"/>
                </w:tcPr>
                <w:p w14:paraId="100B4C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本项目为营养土生产，不属于高耗能、高排放、低水平项目</w:t>
                  </w:r>
                </w:p>
              </w:tc>
              <w:tc>
                <w:tcPr>
                  <w:tcW w:w="549" w:type="pct"/>
                  <w:tcBorders>
                    <w:tl2br w:val="nil"/>
                    <w:tr2bl w:val="nil"/>
                  </w:tcBorders>
                  <w:shd w:val="clear" w:color="auto" w:fill="auto"/>
                  <w:noWrap/>
                  <w:vAlign w:val="center"/>
                </w:tcPr>
                <w:p w14:paraId="3B25E2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r w14:paraId="67CD2D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30F280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五)加快退出重点行业落后产能。修订《产业结构调整指导目录》研究将污染物或温室气体排放明显高出行业平均水平、能效和清洁生产水平低的工艺和装备纳入淘汰类和限制类名单。重点区域进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041" w:type="pct"/>
                  <w:tcBorders>
                    <w:tl2br w:val="nil"/>
                    <w:tr2bl w:val="nil"/>
                  </w:tcBorders>
                  <w:shd w:val="clear" w:color="auto" w:fill="auto"/>
                  <w:vAlign w:val="center"/>
                </w:tcPr>
                <w:p w14:paraId="749EA4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本项目为营养土生产，不属于重点行业落后产能</w:t>
                  </w:r>
                </w:p>
              </w:tc>
              <w:tc>
                <w:tcPr>
                  <w:tcW w:w="549" w:type="pct"/>
                  <w:tcBorders>
                    <w:tl2br w:val="nil"/>
                    <w:tr2bl w:val="nil"/>
                  </w:tcBorders>
                  <w:shd w:val="clear" w:color="auto" w:fill="auto"/>
                  <w:noWrap/>
                  <w:vAlign w:val="center"/>
                </w:tcPr>
                <w:p w14:paraId="0B251F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r w14:paraId="4B5F2F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6031D2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041" w:type="pct"/>
                  <w:tcBorders>
                    <w:tl2br w:val="nil"/>
                    <w:tr2bl w:val="nil"/>
                  </w:tcBorders>
                  <w:shd w:val="clear" w:color="auto" w:fill="auto"/>
                  <w:noWrap/>
                  <w:vAlign w:val="center"/>
                </w:tcPr>
                <w:p w14:paraId="18644D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项目不涉及含VOCs原辅材料和产品</w:t>
                  </w:r>
                </w:p>
              </w:tc>
              <w:tc>
                <w:tcPr>
                  <w:tcW w:w="549" w:type="pct"/>
                  <w:tcBorders>
                    <w:tl2br w:val="nil"/>
                    <w:tr2bl w:val="nil"/>
                  </w:tcBorders>
                  <w:shd w:val="clear" w:color="auto" w:fill="auto"/>
                  <w:noWrap/>
                  <w:vAlign w:val="center"/>
                </w:tcPr>
                <w:p w14:paraId="74EBFF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r w14:paraId="37091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2252D7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041" w:type="pct"/>
                  <w:tcBorders>
                    <w:tl2br w:val="nil"/>
                    <w:tr2bl w:val="nil"/>
                  </w:tcBorders>
                  <w:shd w:val="clear" w:color="auto" w:fill="auto"/>
                  <w:noWrap/>
                  <w:vAlign w:val="center"/>
                </w:tcPr>
                <w:p w14:paraId="5EEFD4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本项目使用电加热，本项目不涉及煤炭消费</w:t>
                  </w:r>
                </w:p>
              </w:tc>
              <w:tc>
                <w:tcPr>
                  <w:tcW w:w="549" w:type="pct"/>
                  <w:tcBorders>
                    <w:tl2br w:val="nil"/>
                    <w:tr2bl w:val="nil"/>
                  </w:tcBorders>
                  <w:shd w:val="clear" w:color="auto" w:fill="auto"/>
                  <w:noWrap/>
                  <w:vAlign w:val="center"/>
                </w:tcPr>
                <w:p w14:paraId="7D6105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r w14:paraId="36BF0E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1711C7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041" w:type="pct"/>
                  <w:tcBorders>
                    <w:tl2br w:val="nil"/>
                    <w:tr2bl w:val="nil"/>
                  </w:tcBorders>
                  <w:shd w:val="clear" w:color="auto" w:fill="auto"/>
                  <w:noWrap/>
                  <w:vAlign w:val="center"/>
                </w:tcPr>
                <w:p w14:paraId="2AB598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本项目使用电加热，项目不涉及燃煤锅炉</w:t>
                  </w:r>
                </w:p>
              </w:tc>
              <w:tc>
                <w:tcPr>
                  <w:tcW w:w="549" w:type="pct"/>
                  <w:tcBorders>
                    <w:tl2br w:val="nil"/>
                    <w:tr2bl w:val="nil"/>
                  </w:tcBorders>
                  <w:shd w:val="clear" w:color="auto" w:fill="auto"/>
                  <w:noWrap/>
                  <w:vAlign w:val="center"/>
                </w:tcPr>
                <w:p w14:paraId="18EFCB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r w14:paraId="56CEF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3409" w:type="pct"/>
                  <w:tcBorders>
                    <w:tl2br w:val="nil"/>
                    <w:tr2bl w:val="nil"/>
                  </w:tcBorders>
                  <w:shd w:val="clear" w:color="auto" w:fill="auto"/>
                  <w:vAlign w:val="center"/>
                </w:tcPr>
                <w:p w14:paraId="3B4C33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十二）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1041" w:type="pct"/>
                  <w:tcBorders>
                    <w:tl2br w:val="nil"/>
                    <w:tr2bl w:val="nil"/>
                  </w:tcBorders>
                  <w:shd w:val="clear" w:color="auto" w:fill="auto"/>
                  <w:noWrap/>
                  <w:vAlign w:val="center"/>
                </w:tcPr>
                <w:p w14:paraId="50FFCA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本项目使用电加热，不涉及工业窑炉</w:t>
                  </w:r>
                </w:p>
              </w:tc>
              <w:tc>
                <w:tcPr>
                  <w:tcW w:w="549" w:type="pct"/>
                  <w:tcBorders>
                    <w:tl2br w:val="nil"/>
                    <w:tr2bl w:val="nil"/>
                  </w:tcBorders>
                  <w:shd w:val="clear" w:color="auto" w:fill="auto"/>
                  <w:noWrap/>
                  <w:vAlign w:val="center"/>
                </w:tcPr>
                <w:p w14:paraId="4E9505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符合</w:t>
                  </w:r>
                </w:p>
              </w:tc>
            </w:tr>
          </w:tbl>
          <w:p w14:paraId="31FE594C">
            <w:pPr>
              <w:keepNext w:val="0"/>
              <w:keepLines w:val="0"/>
              <w:pageBreakBefore w:val="0"/>
              <w:widowControl/>
              <w:suppressLineNumbers w:val="0"/>
              <w:wordWrap/>
              <w:overflowPunct/>
              <w:topLinePunct w:val="0"/>
              <w:bidi w:val="0"/>
              <w:spacing w:line="360" w:lineRule="auto"/>
              <w:jc w:val="both"/>
              <w:rPr>
                <w:rFonts w:hint="eastAsia" w:ascii="仿宋" w:hAnsi="仿宋" w:eastAsia="仿宋" w:cs="仿宋"/>
                <w:sz w:val="24"/>
                <w:szCs w:val="24"/>
              </w:rPr>
            </w:pPr>
            <w:r>
              <w:rPr>
                <w:rFonts w:hint="eastAsia" w:ascii="仿宋" w:hAnsi="仿宋" w:eastAsia="仿宋" w:cs="仿宋"/>
                <w:b/>
                <w:bCs/>
                <w:snapToGrid w:val="0"/>
                <w:color w:val="000000"/>
                <w:kern w:val="0"/>
                <w:sz w:val="24"/>
                <w:szCs w:val="24"/>
                <w:lang w:val="en-US" w:eastAsia="zh-CN" w:bidi="ar"/>
              </w:rPr>
              <w:t>6、与《城镇污水处理厂污泥处理处置及污染防治技术政策（试行）》（建城[2009]03号）的符合性分析</w:t>
            </w:r>
          </w:p>
          <w:p w14:paraId="71D17C7B">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napToGrid w:val="0"/>
                <w:color w:val="000000"/>
                <w:kern w:val="0"/>
                <w:sz w:val="24"/>
                <w:szCs w:val="24"/>
                <w:lang w:val="en-US" w:eastAsia="zh-CN" w:bidi="ar"/>
              </w:rPr>
              <w:t>根据《城镇污水处理厂污泥处理处置及污染防治技术政策（试行）》（建城[2009]23号），“污泥处置是指处理后污泥的消纳过程，处置方式有土地利用、填埋、建筑材料综合利用等。”“鼓励符合标准的污泥进行土地利用。污泥土地利用应符合国家及地方的标准和规定。污泥土地利用主要包括土地改良和园林绿化等。鼓励符合标准的污泥用于土地改良和园林绿化。”“污泥用于园林绿化时，泥质应满足《城镇污水处理厂污泥处置园林绿化用泥质》（GB/T23486-2009）的规定和有关标准要求。”“污泥用于盐碱地、沙化地和废弃矿场等土地改良时，泥质应符合《城镇污水处理厂污泥处置土地改良泥质》（CJ/T291）的规定。”“污泥农用时，污泥必须进行稳定化和无害化处理，并达到《农用污泥中污染物控制标准》（GB4284）等国家和地方现行的有关农用标准和规定。”</w:t>
            </w:r>
          </w:p>
          <w:p w14:paraId="107A213F">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主要利用污泥生产营养土、土壤改良剂，属于对污泥的土地利用处置，本项目通过利用污泥、废弃资源等一般固废为原料生产营养土、土壤改良剂，项目生产工艺主要采用高温厌氧发酵等无害化和稳定化工艺进行发酵灭菌处理，可以达到《农用污泥中污染物控制标准》（GB4284-2018）等国家和地方现行的有关农用标准和规定，最后产品若用于泥用于园林绿化时，泥质应满足《城镇污水处理厂污泥处置园林绿化用泥质》（GB/T23486-2009）的规定和有关标准要求。若用于盐碱地、沙化地和废弃矿场等土地改良时，泥质应符合《城镇污水处理厂污泥处置土地改良泥质》（CJ/T291）的规定。</w:t>
            </w:r>
          </w:p>
          <w:p w14:paraId="18C71040">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napToGrid w:val="0"/>
                <w:color w:val="000000"/>
                <w:kern w:val="0"/>
                <w:sz w:val="24"/>
                <w:szCs w:val="24"/>
                <w:lang w:val="en-US" w:eastAsia="zh-CN" w:bidi="ar"/>
              </w:rPr>
              <w:t>因此，项目符合《城镇污水处理厂污泥处理处置及污染防治技术政策（试行）》（建城[2009]23号）中相关要求。</w:t>
            </w:r>
          </w:p>
          <w:p w14:paraId="7881A7BA">
            <w:pPr>
              <w:pStyle w:val="31"/>
              <w:ind w:left="0" w:leftChars="0" w:firstLine="0" w:firstLineChars="0"/>
              <w:rPr>
                <w:rFonts w:hint="eastAsia" w:ascii="仿宋" w:hAnsi="仿宋" w:eastAsia="仿宋" w:cs="仿宋"/>
              </w:rPr>
            </w:pPr>
          </w:p>
          <w:p w14:paraId="4081F14A">
            <w:pPr>
              <w:pStyle w:val="31"/>
              <w:ind w:left="0" w:leftChars="0" w:firstLine="0" w:firstLineChars="0"/>
              <w:rPr>
                <w:rFonts w:hint="eastAsia" w:ascii="仿宋" w:hAnsi="仿宋" w:eastAsia="仿宋" w:cs="仿宋"/>
              </w:rPr>
            </w:pPr>
          </w:p>
          <w:p w14:paraId="7C0EF520">
            <w:pPr>
              <w:pStyle w:val="31"/>
              <w:ind w:left="0" w:leftChars="0" w:firstLine="0" w:firstLineChars="0"/>
              <w:rPr>
                <w:rFonts w:hint="eastAsia" w:ascii="仿宋" w:hAnsi="仿宋" w:eastAsia="仿宋" w:cs="仿宋"/>
              </w:rPr>
            </w:pPr>
          </w:p>
          <w:p w14:paraId="28694CEA">
            <w:pPr>
              <w:pStyle w:val="31"/>
              <w:ind w:left="0" w:leftChars="0" w:firstLine="0" w:firstLineChars="0"/>
              <w:rPr>
                <w:rFonts w:hint="eastAsia" w:ascii="仿宋" w:hAnsi="仿宋" w:eastAsia="仿宋" w:cs="仿宋"/>
              </w:rPr>
            </w:pPr>
          </w:p>
          <w:p w14:paraId="2D028A5E">
            <w:pPr>
              <w:pStyle w:val="31"/>
              <w:ind w:left="0" w:leftChars="0" w:firstLine="0" w:firstLineChars="0"/>
              <w:rPr>
                <w:rFonts w:hint="eastAsia" w:ascii="仿宋" w:hAnsi="仿宋" w:eastAsia="仿宋" w:cs="仿宋"/>
              </w:rPr>
            </w:pPr>
          </w:p>
          <w:p w14:paraId="75F253CD">
            <w:pPr>
              <w:pStyle w:val="31"/>
              <w:ind w:left="0" w:leftChars="0" w:firstLine="0" w:firstLineChars="0"/>
              <w:rPr>
                <w:rFonts w:hint="eastAsia" w:ascii="仿宋" w:hAnsi="仿宋" w:eastAsia="仿宋" w:cs="仿宋"/>
              </w:rPr>
            </w:pPr>
          </w:p>
          <w:p w14:paraId="456FE82C">
            <w:pPr>
              <w:pStyle w:val="31"/>
              <w:ind w:left="0" w:leftChars="0" w:firstLine="0" w:firstLineChars="0"/>
              <w:rPr>
                <w:rFonts w:hint="eastAsia" w:ascii="仿宋" w:hAnsi="仿宋" w:eastAsia="仿宋" w:cs="仿宋"/>
              </w:rPr>
            </w:pPr>
          </w:p>
          <w:p w14:paraId="22CEB7A2">
            <w:pPr>
              <w:pStyle w:val="31"/>
              <w:ind w:left="0" w:leftChars="0" w:firstLine="0" w:firstLineChars="0"/>
              <w:rPr>
                <w:rFonts w:hint="eastAsia" w:ascii="仿宋" w:hAnsi="仿宋" w:eastAsia="仿宋" w:cs="仿宋"/>
              </w:rPr>
            </w:pPr>
          </w:p>
          <w:p w14:paraId="6C328000">
            <w:pPr>
              <w:pStyle w:val="31"/>
              <w:ind w:left="0" w:leftChars="0" w:firstLine="0" w:firstLineChars="0"/>
              <w:rPr>
                <w:rFonts w:hint="eastAsia" w:ascii="仿宋" w:hAnsi="仿宋" w:eastAsia="仿宋" w:cs="仿宋"/>
              </w:rPr>
            </w:pPr>
          </w:p>
          <w:p w14:paraId="40E9E1C4">
            <w:pPr>
              <w:pStyle w:val="31"/>
              <w:ind w:left="0" w:leftChars="0" w:firstLine="0" w:firstLineChars="0"/>
              <w:rPr>
                <w:rFonts w:hint="eastAsia" w:ascii="仿宋" w:hAnsi="仿宋" w:eastAsia="仿宋" w:cs="仿宋"/>
              </w:rPr>
            </w:pPr>
          </w:p>
          <w:p w14:paraId="0FA22B03">
            <w:pPr>
              <w:pStyle w:val="31"/>
              <w:ind w:left="0" w:leftChars="0" w:firstLine="0" w:firstLineChars="0"/>
              <w:rPr>
                <w:rFonts w:hint="eastAsia" w:ascii="仿宋" w:hAnsi="仿宋" w:eastAsia="仿宋" w:cs="仿宋"/>
              </w:rPr>
            </w:pPr>
          </w:p>
          <w:p w14:paraId="0F37891E">
            <w:pPr>
              <w:autoSpaceDE w:val="0"/>
              <w:autoSpaceDN w:val="0"/>
              <w:adjustRightInd w:val="0"/>
              <w:snapToGrid w:val="0"/>
              <w:jc w:val="both"/>
              <w:rPr>
                <w:rFonts w:hint="eastAsia" w:ascii="仿宋" w:hAnsi="仿宋" w:eastAsia="仿宋" w:cs="仿宋"/>
                <w:color w:val="FF0000"/>
                <w:kern w:val="0"/>
                <w:szCs w:val="21"/>
              </w:rPr>
            </w:pPr>
          </w:p>
        </w:tc>
      </w:tr>
    </w:tbl>
    <w:p w14:paraId="2CB6364D">
      <w:pPr>
        <w:spacing w:line="360" w:lineRule="auto"/>
        <w:outlineLvl w:val="0"/>
        <w:rPr>
          <w:rFonts w:hint="eastAsia" w:ascii="仿宋" w:hAnsi="仿宋" w:eastAsia="仿宋" w:cs="仿宋"/>
          <w:color w:val="FF0000"/>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4758506">
      <w:pPr>
        <w:pStyle w:val="28"/>
        <w:spacing w:before="0" w:beforeAutospacing="0" w:after="0" w:afterAutospacing="0"/>
        <w:jc w:val="center"/>
        <w:outlineLvl w:val="0"/>
        <w:rPr>
          <w:rFonts w:hint="eastAsia" w:ascii="仿宋" w:hAnsi="仿宋" w:eastAsia="仿宋" w:cs="仿宋"/>
          <w:snapToGrid w:val="0"/>
          <w:color w:val="auto"/>
          <w:sz w:val="30"/>
          <w:szCs w:val="30"/>
        </w:rPr>
      </w:pPr>
      <w:r>
        <w:rPr>
          <w:rFonts w:hint="eastAsia" w:ascii="仿宋" w:hAnsi="仿宋" w:eastAsia="仿宋" w:cs="仿宋"/>
          <w:b/>
          <w:bCs/>
          <w:snapToGrid w:val="0"/>
          <w:color w:val="auto"/>
          <w:sz w:val="30"/>
          <w:szCs w:val="30"/>
        </w:rPr>
        <w:t>二、建设项目工程分析</w:t>
      </w:r>
    </w:p>
    <w:tbl>
      <w:tblPr>
        <w:tblStyle w:val="32"/>
        <w:tblW w:w="9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1" w:type="dxa"/>
          <w:bottom w:w="57" w:type="dxa"/>
          <w:right w:w="51" w:type="dxa"/>
        </w:tblCellMar>
      </w:tblPr>
      <w:tblGrid>
        <w:gridCol w:w="431"/>
        <w:gridCol w:w="8743"/>
      </w:tblGrid>
      <w:tr w14:paraId="1DEB5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1" w:type="dxa"/>
            <w:bottom w:w="57" w:type="dxa"/>
            <w:right w:w="51" w:type="dxa"/>
          </w:tblCellMar>
        </w:tblPrEx>
        <w:trPr>
          <w:trHeight w:val="90" w:hRule="atLeast"/>
          <w:jc w:val="center"/>
        </w:trPr>
        <w:tc>
          <w:tcPr>
            <w:tcW w:w="431" w:type="dxa"/>
            <w:vAlign w:val="center"/>
          </w:tcPr>
          <w:p w14:paraId="5BC7C06E">
            <w:pPr>
              <w:pStyle w:val="28"/>
              <w:adjustRightInd w:val="0"/>
              <w:snapToGrid w:val="0"/>
              <w:spacing w:before="0" w:beforeAutospacing="0" w:after="0" w:afterAutospacing="0"/>
              <w:jc w:val="center"/>
              <w:rPr>
                <w:rFonts w:hint="eastAsia" w:ascii="仿宋" w:hAnsi="仿宋" w:eastAsia="仿宋" w:cs="仿宋"/>
                <w:color w:val="auto"/>
                <w:sz w:val="21"/>
                <w:szCs w:val="21"/>
              </w:rPr>
            </w:pPr>
            <w:r>
              <w:rPr>
                <w:rFonts w:hint="eastAsia" w:ascii="仿宋" w:hAnsi="仿宋" w:eastAsia="仿宋" w:cs="仿宋"/>
                <w:color w:val="auto"/>
                <w:sz w:val="24"/>
                <w:szCs w:val="24"/>
              </w:rPr>
              <w:t>建设内容</w:t>
            </w:r>
          </w:p>
        </w:tc>
        <w:tc>
          <w:tcPr>
            <w:tcW w:w="8743" w:type="dxa"/>
          </w:tcPr>
          <w:p w14:paraId="4A861436">
            <w:pPr>
              <w:keepNext w:val="0"/>
              <w:keepLines w:val="0"/>
              <w:pageBreakBefore w:val="0"/>
              <w:widowControl w:val="0"/>
              <w:kinsoku/>
              <w:wordWrap/>
              <w:overflowPunct/>
              <w:topLinePunct w:val="0"/>
              <w:bidi w:val="0"/>
              <w:snapToGrid/>
              <w:spacing w:line="360" w:lineRule="auto"/>
              <w:ind w:firstLine="472" w:firstLineChars="196"/>
              <w:textAlignment w:val="auto"/>
              <w:rPr>
                <w:rFonts w:hint="eastAsia" w:ascii="仿宋" w:hAnsi="仿宋" w:eastAsia="仿宋" w:cs="仿宋"/>
                <w:b/>
                <w:color w:val="auto"/>
                <w:kern w:val="28"/>
                <w:sz w:val="24"/>
                <w:lang w:val="en-US" w:eastAsia="zh-CN"/>
              </w:rPr>
            </w:pPr>
            <w:r>
              <w:rPr>
                <w:rFonts w:hint="eastAsia" w:ascii="仿宋" w:hAnsi="仿宋" w:eastAsia="仿宋" w:cs="仿宋"/>
                <w:b/>
                <w:color w:val="auto"/>
                <w:kern w:val="28"/>
                <w:sz w:val="24"/>
                <w:lang w:val="en-US" w:eastAsia="zh-CN"/>
              </w:rPr>
              <w:t>1、项目概况</w:t>
            </w:r>
          </w:p>
          <w:p w14:paraId="6072E88F">
            <w:pPr>
              <w:spacing w:line="360" w:lineRule="auto"/>
              <w:ind w:firstLine="480" w:firstLineChars="200"/>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徽省馨顺生物科技有限公司成立于2024年12月24日，主要从事营养土及土壤相关产品的研发与生产，现投资6000万元，租赁淮南市虎泉电动车制造有限公司空置厂房3313.56㎡，购置发酵罐、破碎机等设备，建设3条高效土壤改良剂、营养土生产线，项目建成后，可年产7万吨营养土及3万吨土壤改良剂。</w:t>
            </w:r>
          </w:p>
          <w:p w14:paraId="2C746DE4">
            <w:pPr>
              <w:adjustRightInd w:val="0"/>
              <w:snapToGrid w:val="0"/>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根据《中华人民共和国环境保护法》、《</w:t>
            </w:r>
            <w:r>
              <w:rPr>
                <w:rFonts w:hint="eastAsia" w:ascii="仿宋" w:hAnsi="仿宋" w:eastAsia="仿宋" w:cs="仿宋"/>
                <w:bCs/>
                <w:color w:val="auto"/>
                <w:sz w:val="24"/>
              </w:rPr>
              <w:t>中华人民共和国环境影响评价法</w:t>
            </w:r>
            <w:r>
              <w:rPr>
                <w:rFonts w:hint="eastAsia" w:ascii="仿宋" w:hAnsi="仿宋" w:eastAsia="仿宋" w:cs="仿宋"/>
                <w:color w:val="auto"/>
                <w:sz w:val="24"/>
                <w:szCs w:val="32"/>
              </w:rPr>
              <w:t>》和《建设项目环境保护管理条例》（国务院令第682号），对照《建设项目环境影响评价分类管理名录（2021版）》（部令第16号）规定，本项目环境影响评价类别判定情况见下表：</w:t>
            </w:r>
          </w:p>
          <w:p w14:paraId="15FB1281">
            <w:pPr>
              <w:adjustRightInd w:val="0"/>
              <w:snapToGrid w:val="0"/>
              <w:jc w:val="center"/>
              <w:rPr>
                <w:rFonts w:hint="eastAsia" w:ascii="仿宋" w:hAnsi="仿宋" w:eastAsia="仿宋" w:cs="仿宋"/>
                <w:color w:val="auto"/>
                <w:sz w:val="24"/>
                <w:szCs w:val="32"/>
              </w:rPr>
            </w:pPr>
            <w:r>
              <w:rPr>
                <w:rFonts w:hint="eastAsia" w:ascii="仿宋" w:hAnsi="仿宋" w:eastAsia="仿宋" w:cs="仿宋"/>
                <w:b/>
                <w:bCs/>
                <w:color w:val="auto"/>
              </w:rPr>
              <w:t>表2-1  项目环评类别判别情况表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109"/>
              <w:gridCol w:w="2685"/>
              <w:gridCol w:w="2306"/>
              <w:gridCol w:w="935"/>
            </w:tblGrid>
            <w:tr w14:paraId="38B0E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0" w:type="pct"/>
                  <w:gridSpan w:val="2"/>
                  <w:vMerge w:val="restart"/>
                  <w:vAlign w:val="center"/>
                </w:tcPr>
                <w:p w14:paraId="0D0F2C36">
                  <w:pPr>
                    <w:jc w:val="center"/>
                    <w:rPr>
                      <w:rFonts w:hint="eastAsia" w:ascii="仿宋" w:hAnsi="仿宋" w:eastAsia="仿宋" w:cs="仿宋"/>
                      <w:color w:val="auto"/>
                      <w:szCs w:val="21"/>
                    </w:rPr>
                  </w:pPr>
                  <w:r>
                    <w:rPr>
                      <w:rFonts w:hint="eastAsia" w:ascii="仿宋" w:hAnsi="仿宋" w:eastAsia="仿宋" w:cs="仿宋"/>
                      <w:color w:val="auto"/>
                      <w:szCs w:val="21"/>
                    </w:rPr>
                    <w:t xml:space="preserve">         环评类别</w:t>
                  </w:r>
                </w:p>
                <w:p w14:paraId="571C06A4">
                  <w:pPr>
                    <w:rPr>
                      <w:rFonts w:hint="eastAsia" w:ascii="仿宋" w:hAnsi="仿宋" w:eastAsia="仿宋" w:cs="仿宋"/>
                      <w:color w:val="auto"/>
                      <w:szCs w:val="21"/>
                    </w:rPr>
                  </w:pPr>
                  <w:r>
                    <w:rPr>
                      <w:rFonts w:hint="eastAsia" w:ascii="仿宋" w:hAnsi="仿宋" w:eastAsia="仿宋" w:cs="仿宋"/>
                      <w:color w:val="auto"/>
                      <w:szCs w:val="21"/>
                    </w:rPr>
                    <w:t>项目类别</w:t>
                  </w:r>
                </w:p>
              </w:tc>
              <w:tc>
                <w:tcPr>
                  <w:tcW w:w="3429" w:type="pct"/>
                  <w:gridSpan w:val="3"/>
                  <w:vAlign w:val="center"/>
                </w:tcPr>
                <w:p w14:paraId="05B4C216">
                  <w:pPr>
                    <w:jc w:val="center"/>
                    <w:rPr>
                      <w:rFonts w:hint="eastAsia" w:ascii="仿宋" w:hAnsi="仿宋" w:eastAsia="仿宋" w:cs="仿宋"/>
                      <w:color w:val="auto"/>
                      <w:szCs w:val="21"/>
                    </w:rPr>
                  </w:pPr>
                  <w:r>
                    <w:rPr>
                      <w:rFonts w:hint="eastAsia" w:ascii="仿宋" w:hAnsi="仿宋" w:eastAsia="仿宋" w:cs="仿宋"/>
                      <w:color w:val="auto"/>
                      <w:szCs w:val="21"/>
                    </w:rPr>
                    <w:t>环境影响评价类别</w:t>
                  </w:r>
                </w:p>
              </w:tc>
            </w:tr>
            <w:tr w14:paraId="67917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0" w:type="pct"/>
                  <w:gridSpan w:val="2"/>
                  <w:vMerge w:val="continue"/>
                  <w:vAlign w:val="center"/>
                </w:tcPr>
                <w:p w14:paraId="5D449C4F">
                  <w:pPr>
                    <w:jc w:val="center"/>
                    <w:rPr>
                      <w:rFonts w:hint="eastAsia" w:ascii="仿宋" w:hAnsi="仿宋" w:eastAsia="仿宋" w:cs="仿宋"/>
                      <w:color w:val="auto"/>
                      <w:szCs w:val="21"/>
                    </w:rPr>
                  </w:pPr>
                </w:p>
              </w:tc>
              <w:tc>
                <w:tcPr>
                  <w:tcW w:w="1554" w:type="pct"/>
                  <w:vAlign w:val="center"/>
                </w:tcPr>
                <w:p w14:paraId="5A8F5E68">
                  <w:pPr>
                    <w:jc w:val="center"/>
                    <w:rPr>
                      <w:rFonts w:hint="eastAsia" w:ascii="仿宋" w:hAnsi="仿宋" w:eastAsia="仿宋" w:cs="仿宋"/>
                      <w:color w:val="auto"/>
                      <w:szCs w:val="21"/>
                    </w:rPr>
                  </w:pPr>
                  <w:r>
                    <w:rPr>
                      <w:rFonts w:hint="eastAsia" w:ascii="仿宋" w:hAnsi="仿宋" w:eastAsia="仿宋" w:cs="仿宋"/>
                      <w:color w:val="auto"/>
                      <w:szCs w:val="21"/>
                    </w:rPr>
                    <w:t>报告书</w:t>
                  </w:r>
                </w:p>
              </w:tc>
              <w:tc>
                <w:tcPr>
                  <w:tcW w:w="1335" w:type="pct"/>
                  <w:vAlign w:val="center"/>
                </w:tcPr>
                <w:p w14:paraId="576E141F">
                  <w:pPr>
                    <w:jc w:val="center"/>
                    <w:rPr>
                      <w:rFonts w:hint="eastAsia" w:ascii="仿宋" w:hAnsi="仿宋" w:eastAsia="仿宋" w:cs="仿宋"/>
                      <w:color w:val="auto"/>
                      <w:szCs w:val="21"/>
                    </w:rPr>
                  </w:pPr>
                  <w:r>
                    <w:rPr>
                      <w:rFonts w:hint="eastAsia" w:ascii="仿宋" w:hAnsi="仿宋" w:eastAsia="仿宋" w:cs="仿宋"/>
                      <w:color w:val="auto"/>
                      <w:szCs w:val="21"/>
                    </w:rPr>
                    <w:t>报告表</w:t>
                  </w:r>
                </w:p>
              </w:tc>
              <w:tc>
                <w:tcPr>
                  <w:tcW w:w="539" w:type="pct"/>
                  <w:vAlign w:val="center"/>
                </w:tcPr>
                <w:p w14:paraId="6D87D906">
                  <w:pPr>
                    <w:jc w:val="center"/>
                    <w:rPr>
                      <w:rFonts w:hint="eastAsia" w:ascii="仿宋" w:hAnsi="仿宋" w:eastAsia="仿宋" w:cs="仿宋"/>
                      <w:color w:val="auto"/>
                      <w:szCs w:val="21"/>
                    </w:rPr>
                  </w:pPr>
                  <w:r>
                    <w:rPr>
                      <w:rFonts w:hint="eastAsia" w:ascii="仿宋" w:hAnsi="仿宋" w:eastAsia="仿宋" w:cs="仿宋"/>
                      <w:color w:val="auto"/>
                      <w:szCs w:val="21"/>
                    </w:rPr>
                    <w:t>登记表</w:t>
                  </w:r>
                </w:p>
              </w:tc>
            </w:tr>
            <w:tr w14:paraId="4606D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000" w:type="pct"/>
                  <w:gridSpan w:val="5"/>
                  <w:vAlign w:val="center"/>
                </w:tcPr>
                <w:p w14:paraId="048789AA">
                  <w:pPr>
                    <w:rPr>
                      <w:rFonts w:hint="eastAsia" w:ascii="仿宋" w:hAnsi="仿宋" w:eastAsia="仿宋" w:cs="仿宋"/>
                      <w:color w:val="auto"/>
                      <w:szCs w:val="21"/>
                      <w:lang w:eastAsia="zh-CN"/>
                    </w:rPr>
                  </w:pPr>
                  <w:r>
                    <w:rPr>
                      <w:rFonts w:hint="eastAsia" w:ascii="仿宋" w:hAnsi="仿宋" w:eastAsia="仿宋" w:cs="仿宋"/>
                      <w:color w:val="auto"/>
                      <w:szCs w:val="21"/>
                      <w:lang w:eastAsia="zh-CN"/>
                    </w:rPr>
                    <w:t>四十七、 生态保护和环境治理业</w:t>
                  </w:r>
                </w:p>
              </w:tc>
            </w:tr>
            <w:tr w14:paraId="1EF25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49" w:type="pct"/>
                  <w:vAlign w:val="center"/>
                </w:tcPr>
                <w:p w14:paraId="40FD1296">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103</w:t>
                  </w:r>
                </w:p>
              </w:tc>
              <w:tc>
                <w:tcPr>
                  <w:tcW w:w="1221" w:type="pct"/>
                  <w:vAlign w:val="center"/>
                </w:tcPr>
                <w:p w14:paraId="2566A1DC">
                  <w:pPr>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一般工业固体废物（含污水处理污泥）、建筑施工废弃物处置及综合利用</w:t>
                  </w:r>
                </w:p>
              </w:tc>
              <w:tc>
                <w:tcPr>
                  <w:tcW w:w="1554" w:type="pct"/>
                  <w:vAlign w:val="center"/>
                </w:tcPr>
                <w:p w14:paraId="0E78B024">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一般工业固体废物（含污水处理污泥） 采取填埋、焚烧（水泥窑协同处置的改造项目除外）方式的</w:t>
                  </w:r>
                </w:p>
              </w:tc>
              <w:tc>
                <w:tcPr>
                  <w:tcW w:w="1335" w:type="pct"/>
                  <w:shd w:val="clear" w:color="auto" w:fill="A4A4A4" w:themeFill="background1" w:themeFillShade="A5"/>
                  <w:vAlign w:val="center"/>
                </w:tcPr>
                <w:p w14:paraId="3405F6BA">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其他</w:t>
                  </w:r>
                </w:p>
              </w:tc>
              <w:tc>
                <w:tcPr>
                  <w:tcW w:w="539" w:type="pct"/>
                  <w:vAlign w:val="center"/>
                </w:tcPr>
                <w:p w14:paraId="43473D7F">
                  <w:pPr>
                    <w:jc w:val="center"/>
                    <w:rPr>
                      <w:rFonts w:hint="eastAsia" w:ascii="仿宋" w:hAnsi="仿宋" w:eastAsia="仿宋" w:cs="仿宋"/>
                      <w:color w:val="auto"/>
                      <w:szCs w:val="21"/>
                    </w:rPr>
                  </w:pPr>
                  <w:r>
                    <w:rPr>
                      <w:rFonts w:hint="eastAsia" w:ascii="仿宋" w:hAnsi="仿宋" w:eastAsia="仿宋" w:cs="仿宋"/>
                      <w:color w:val="auto"/>
                      <w:szCs w:val="21"/>
                    </w:rPr>
                    <w:t>/</w:t>
                  </w:r>
                </w:p>
              </w:tc>
            </w:tr>
          </w:tbl>
          <w:p w14:paraId="77B83543">
            <w:pPr>
              <w:adjustRightInd w:val="0"/>
              <w:snapToGrid w:val="0"/>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w:t>
            </w:r>
            <w:r>
              <w:rPr>
                <w:rFonts w:hint="eastAsia" w:ascii="仿宋" w:hAnsi="仿宋" w:eastAsia="仿宋" w:cs="仿宋"/>
                <w:color w:val="auto"/>
                <w:sz w:val="24"/>
                <w:lang w:eastAsia="zh-CN"/>
              </w:rPr>
              <w:t>处理对象主要为污泥</w:t>
            </w:r>
            <w:r>
              <w:rPr>
                <w:rFonts w:hint="eastAsia" w:ascii="仿宋" w:hAnsi="仿宋" w:eastAsia="仿宋" w:cs="仿宋"/>
                <w:color w:val="auto"/>
                <w:sz w:val="24"/>
              </w:rPr>
              <w:t>。因此，根据环境影响评价类别，本项目需编制环境影响报告表。</w:t>
            </w:r>
          </w:p>
          <w:p w14:paraId="6E47AA3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根据《固定污染源排污许可分类管理名录（2019年版）》，本项目排污许可分类情况如下。</w:t>
            </w:r>
          </w:p>
          <w:p w14:paraId="272BDAB3">
            <w:pPr>
              <w:jc w:val="center"/>
              <w:rPr>
                <w:rFonts w:hint="eastAsia" w:ascii="仿宋" w:hAnsi="仿宋" w:eastAsia="仿宋" w:cs="仿宋"/>
                <w:b/>
                <w:bCs/>
                <w:color w:val="auto"/>
                <w:szCs w:val="21"/>
              </w:rPr>
            </w:pPr>
            <w:r>
              <w:rPr>
                <w:rFonts w:hint="eastAsia" w:ascii="仿宋" w:hAnsi="仿宋" w:eastAsia="仿宋" w:cs="仿宋"/>
                <w:b/>
                <w:bCs/>
                <w:color w:val="auto"/>
                <w:szCs w:val="21"/>
              </w:rPr>
              <w:t>表2-2 项目排污许可类别判定情况表</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767"/>
              <w:gridCol w:w="3359"/>
              <w:gridCol w:w="1687"/>
              <w:gridCol w:w="1117"/>
            </w:tblGrid>
            <w:tr w14:paraId="5FA54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2" w:type="pct"/>
                  <w:gridSpan w:val="2"/>
                  <w:vMerge w:val="restart"/>
                  <w:vAlign w:val="center"/>
                </w:tcPr>
                <w:p w14:paraId="252FCF4F">
                  <w:pPr>
                    <w:jc w:val="center"/>
                    <w:rPr>
                      <w:rFonts w:hint="eastAsia" w:ascii="仿宋" w:hAnsi="仿宋" w:eastAsia="仿宋" w:cs="仿宋"/>
                      <w:color w:val="auto"/>
                      <w:szCs w:val="21"/>
                    </w:rPr>
                  </w:pPr>
                  <w:r>
                    <w:rPr>
                      <w:rFonts w:hint="eastAsia" w:ascii="仿宋" w:hAnsi="仿宋" w:eastAsia="仿宋" w:cs="仿宋"/>
                      <w:color w:val="auto"/>
                      <w:szCs w:val="21"/>
                    </w:rPr>
                    <w:t xml:space="preserve">          排污许可类别</w:t>
                  </w:r>
                </w:p>
                <w:p w14:paraId="4ECAB64D">
                  <w:pPr>
                    <w:rPr>
                      <w:rFonts w:hint="eastAsia" w:ascii="仿宋" w:hAnsi="仿宋" w:eastAsia="仿宋" w:cs="仿宋"/>
                      <w:color w:val="auto"/>
                      <w:szCs w:val="21"/>
                    </w:rPr>
                  </w:pPr>
                  <w:r>
                    <w:rPr>
                      <w:rFonts w:hint="eastAsia" w:ascii="仿宋" w:hAnsi="仿宋" w:eastAsia="仿宋" w:cs="仿宋"/>
                      <w:color w:val="auto"/>
                      <w:szCs w:val="21"/>
                    </w:rPr>
                    <w:t>项目类别</w:t>
                  </w:r>
                </w:p>
              </w:tc>
              <w:tc>
                <w:tcPr>
                  <w:tcW w:w="3567" w:type="pct"/>
                  <w:gridSpan w:val="3"/>
                  <w:vAlign w:val="center"/>
                </w:tcPr>
                <w:p w14:paraId="20703171">
                  <w:pPr>
                    <w:jc w:val="center"/>
                    <w:rPr>
                      <w:rFonts w:hint="eastAsia" w:ascii="仿宋" w:hAnsi="仿宋" w:eastAsia="仿宋" w:cs="仿宋"/>
                      <w:color w:val="auto"/>
                      <w:szCs w:val="21"/>
                    </w:rPr>
                  </w:pPr>
                  <w:r>
                    <w:rPr>
                      <w:rFonts w:hint="eastAsia" w:ascii="仿宋" w:hAnsi="仿宋" w:eastAsia="仿宋" w:cs="仿宋"/>
                      <w:color w:val="auto"/>
                      <w:szCs w:val="21"/>
                    </w:rPr>
                    <w:t>环境影响评价类别</w:t>
                  </w:r>
                </w:p>
              </w:tc>
            </w:tr>
            <w:tr w14:paraId="1651F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2" w:type="pct"/>
                  <w:gridSpan w:val="2"/>
                  <w:vMerge w:val="continue"/>
                  <w:vAlign w:val="center"/>
                </w:tcPr>
                <w:p w14:paraId="515EFC73">
                  <w:pPr>
                    <w:jc w:val="center"/>
                    <w:rPr>
                      <w:rFonts w:hint="eastAsia" w:ascii="仿宋" w:hAnsi="仿宋" w:eastAsia="仿宋" w:cs="仿宋"/>
                      <w:color w:val="auto"/>
                      <w:szCs w:val="21"/>
                    </w:rPr>
                  </w:pPr>
                </w:p>
              </w:tc>
              <w:tc>
                <w:tcPr>
                  <w:tcW w:w="1945" w:type="pct"/>
                  <w:vAlign w:val="center"/>
                </w:tcPr>
                <w:p w14:paraId="246FE2B4">
                  <w:pPr>
                    <w:jc w:val="center"/>
                    <w:rPr>
                      <w:rFonts w:hint="eastAsia" w:ascii="仿宋" w:hAnsi="仿宋" w:eastAsia="仿宋" w:cs="仿宋"/>
                      <w:color w:val="auto"/>
                      <w:szCs w:val="21"/>
                    </w:rPr>
                  </w:pPr>
                  <w:r>
                    <w:rPr>
                      <w:rFonts w:hint="eastAsia" w:ascii="仿宋" w:hAnsi="仿宋" w:eastAsia="仿宋" w:cs="仿宋"/>
                      <w:color w:val="auto"/>
                      <w:szCs w:val="21"/>
                    </w:rPr>
                    <w:t>重点管理</w:t>
                  </w:r>
                </w:p>
              </w:tc>
              <w:tc>
                <w:tcPr>
                  <w:tcW w:w="977" w:type="pct"/>
                  <w:vAlign w:val="center"/>
                </w:tcPr>
                <w:p w14:paraId="43C35906">
                  <w:pPr>
                    <w:jc w:val="center"/>
                    <w:rPr>
                      <w:rFonts w:hint="eastAsia" w:ascii="仿宋" w:hAnsi="仿宋" w:eastAsia="仿宋" w:cs="仿宋"/>
                      <w:color w:val="auto"/>
                      <w:szCs w:val="21"/>
                    </w:rPr>
                  </w:pPr>
                  <w:r>
                    <w:rPr>
                      <w:rFonts w:hint="eastAsia" w:ascii="仿宋" w:hAnsi="仿宋" w:eastAsia="仿宋" w:cs="仿宋"/>
                      <w:color w:val="auto"/>
                      <w:szCs w:val="21"/>
                    </w:rPr>
                    <w:t>简化管理</w:t>
                  </w:r>
                </w:p>
              </w:tc>
              <w:tc>
                <w:tcPr>
                  <w:tcW w:w="643" w:type="pct"/>
                  <w:vAlign w:val="center"/>
                </w:tcPr>
                <w:p w14:paraId="12687E4E">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登记管理</w:t>
                  </w:r>
                </w:p>
              </w:tc>
            </w:tr>
            <w:tr w14:paraId="5D1B6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179D6F8">
                  <w:pPr>
                    <w:rPr>
                      <w:rFonts w:hint="eastAsia" w:ascii="仿宋" w:hAnsi="仿宋" w:eastAsia="仿宋" w:cs="仿宋"/>
                      <w:b/>
                      <w:bCs/>
                      <w:color w:val="auto"/>
                      <w:szCs w:val="21"/>
                      <w:lang w:eastAsia="zh-CN"/>
                    </w:rPr>
                  </w:pPr>
                  <w:r>
                    <w:rPr>
                      <w:rFonts w:hint="eastAsia" w:ascii="仿宋" w:hAnsi="仿宋" w:eastAsia="仿宋" w:cs="仿宋"/>
                      <w:bCs/>
                      <w:color w:val="auto"/>
                      <w:szCs w:val="21"/>
                      <w:lang w:eastAsia="zh-CN"/>
                    </w:rPr>
                    <w:t>四十五、生态保护和环境治理业 77</w:t>
                  </w:r>
                </w:p>
              </w:tc>
            </w:tr>
            <w:tr w14:paraId="39B97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09" w:type="pct"/>
                  <w:vAlign w:val="center"/>
                </w:tcPr>
                <w:p w14:paraId="18933313">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103</w:t>
                  </w:r>
                </w:p>
              </w:tc>
              <w:tc>
                <w:tcPr>
                  <w:tcW w:w="1023" w:type="pct"/>
                  <w:vAlign w:val="center"/>
                </w:tcPr>
                <w:p w14:paraId="76311E3B">
                  <w:pPr>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环境治理业 772</w:t>
                  </w:r>
                </w:p>
              </w:tc>
              <w:tc>
                <w:tcPr>
                  <w:tcW w:w="1945" w:type="pct"/>
                  <w:shd w:val="clear" w:color="auto" w:fill="BEBEBE" w:themeFill="background1" w:themeFillShade="BF"/>
                  <w:vAlign w:val="center"/>
                </w:tcPr>
                <w:p w14:paraId="2064E278">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专业从事危险废物贮存、利用、处理、处置（含焚烧发电）的，专业从事一 般工业固体废物贮存、处置（含焚烧 发电）的</w:t>
                  </w:r>
                </w:p>
              </w:tc>
              <w:tc>
                <w:tcPr>
                  <w:tcW w:w="977" w:type="pct"/>
                  <w:shd w:val="clear" w:color="auto" w:fill="FFFFFF" w:themeFill="background1"/>
                  <w:vAlign w:val="center"/>
                </w:tcPr>
                <w:p w14:paraId="22E47BF6">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w:t>
                  </w:r>
                </w:p>
              </w:tc>
              <w:tc>
                <w:tcPr>
                  <w:tcW w:w="643" w:type="pct"/>
                  <w:vAlign w:val="center"/>
                </w:tcPr>
                <w:p w14:paraId="636ADB59">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w:t>
                  </w:r>
                </w:p>
              </w:tc>
            </w:tr>
          </w:tbl>
          <w:p w14:paraId="454F77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color w:val="auto"/>
                <w:kern w:val="28"/>
                <w:sz w:val="24"/>
                <w:szCs w:val="24"/>
                <w:lang w:val="en-US" w:eastAsia="zh-CN"/>
              </w:rPr>
            </w:pPr>
            <w:r>
              <w:rPr>
                <w:rFonts w:hint="eastAsia" w:ascii="仿宋" w:hAnsi="仿宋" w:eastAsia="仿宋" w:cs="仿宋"/>
                <w:color w:val="auto"/>
                <w:sz w:val="24"/>
              </w:rPr>
              <w:t>本项目属于</w:t>
            </w:r>
            <w:r>
              <w:rPr>
                <w:rFonts w:hint="eastAsia" w:ascii="仿宋" w:hAnsi="仿宋" w:eastAsia="仿宋" w:cs="仿宋"/>
                <w:color w:val="auto"/>
                <w:sz w:val="24"/>
                <w:lang w:eastAsia="zh-CN"/>
              </w:rPr>
              <w:t>专业从事一般工业固体废物（污泥）处置利用的</w:t>
            </w:r>
            <w:r>
              <w:rPr>
                <w:rFonts w:hint="eastAsia" w:ascii="仿宋" w:hAnsi="仿宋" w:eastAsia="仿宋" w:cs="仿宋"/>
                <w:color w:val="auto"/>
                <w:sz w:val="24"/>
              </w:rPr>
              <w:t>。因此，根据《固定污染源排污许可分类管理名录（2019年版）》，本项目属于</w:t>
            </w:r>
            <w:r>
              <w:rPr>
                <w:rFonts w:hint="eastAsia" w:ascii="仿宋" w:hAnsi="仿宋" w:eastAsia="仿宋" w:cs="仿宋"/>
                <w:color w:val="auto"/>
                <w:sz w:val="24"/>
                <w:lang w:eastAsia="zh-CN"/>
              </w:rPr>
              <w:t>重点</w:t>
            </w:r>
            <w:r>
              <w:rPr>
                <w:rFonts w:hint="eastAsia" w:ascii="仿宋" w:hAnsi="仿宋" w:eastAsia="仿宋" w:cs="仿宋"/>
                <w:color w:val="auto"/>
                <w:sz w:val="24"/>
              </w:rPr>
              <w:t>管理，项目建成后应及时完成排污许可手续。</w:t>
            </w:r>
          </w:p>
          <w:p w14:paraId="6F4F50E4">
            <w:pPr>
              <w:keepNext w:val="0"/>
              <w:keepLines w:val="0"/>
              <w:pageBreakBefore w:val="0"/>
              <w:widowControl w:val="0"/>
              <w:kinsoku/>
              <w:wordWrap/>
              <w:overflowPunct/>
              <w:topLinePunct w:val="0"/>
              <w:bidi w:val="0"/>
              <w:snapToGrid/>
              <w:spacing w:line="360" w:lineRule="auto"/>
              <w:ind w:firstLine="472" w:firstLineChars="196"/>
              <w:textAlignment w:val="auto"/>
              <w:rPr>
                <w:rFonts w:hint="eastAsia" w:ascii="仿宋" w:hAnsi="仿宋" w:eastAsia="仿宋" w:cs="仿宋"/>
                <w:b/>
                <w:color w:val="auto"/>
                <w:kern w:val="28"/>
                <w:sz w:val="24"/>
              </w:rPr>
            </w:pPr>
            <w:r>
              <w:rPr>
                <w:rFonts w:hint="eastAsia" w:ascii="仿宋" w:hAnsi="仿宋" w:eastAsia="仿宋" w:cs="仿宋"/>
                <w:b/>
                <w:color w:val="auto"/>
                <w:kern w:val="28"/>
                <w:sz w:val="24"/>
                <w:lang w:val="en-US" w:eastAsia="zh-CN"/>
              </w:rPr>
              <w:t>2、项目</w:t>
            </w:r>
            <w:r>
              <w:rPr>
                <w:rFonts w:hint="eastAsia" w:ascii="仿宋" w:hAnsi="仿宋" w:eastAsia="仿宋" w:cs="仿宋"/>
                <w:b/>
                <w:color w:val="auto"/>
                <w:kern w:val="28"/>
                <w:sz w:val="24"/>
              </w:rPr>
              <w:t>建设规模及内容</w:t>
            </w:r>
          </w:p>
          <w:p w14:paraId="410139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建设内容如下表：</w:t>
            </w:r>
          </w:p>
          <w:p w14:paraId="25507327">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仿宋" w:hAnsi="仿宋" w:eastAsia="仿宋" w:cs="仿宋"/>
                <w:b/>
                <w:color w:val="auto"/>
                <w:sz w:val="21"/>
                <w:szCs w:val="21"/>
              </w:rPr>
            </w:pPr>
            <w:r>
              <w:rPr>
                <w:rFonts w:hint="eastAsia" w:ascii="仿宋" w:hAnsi="仿宋" w:eastAsia="仿宋" w:cs="仿宋"/>
                <w:b/>
                <w:color w:val="auto"/>
                <w:sz w:val="21"/>
                <w:szCs w:val="21"/>
              </w:rPr>
              <w:t>表</w:t>
            </w:r>
            <w:r>
              <w:rPr>
                <w:rFonts w:hint="eastAsia" w:ascii="仿宋" w:hAnsi="仿宋" w:eastAsia="仿宋" w:cs="仿宋"/>
                <w:b/>
                <w:color w:val="auto"/>
                <w:sz w:val="21"/>
                <w:szCs w:val="21"/>
                <w:lang w:val="en-US" w:eastAsia="zh-CN"/>
              </w:rPr>
              <w:t>2-3</w:t>
            </w:r>
            <w:r>
              <w:rPr>
                <w:rFonts w:hint="eastAsia" w:ascii="仿宋" w:hAnsi="仿宋" w:eastAsia="仿宋" w:cs="仿宋"/>
                <w:b/>
                <w:color w:val="auto"/>
                <w:sz w:val="21"/>
                <w:szCs w:val="21"/>
              </w:rPr>
              <w:t xml:space="preserve"> </w:t>
            </w:r>
            <w:r>
              <w:rPr>
                <w:rFonts w:hint="eastAsia" w:ascii="仿宋" w:hAnsi="仿宋" w:eastAsia="仿宋" w:cs="仿宋"/>
                <w:b/>
                <w:color w:val="auto"/>
                <w:sz w:val="21"/>
                <w:szCs w:val="21"/>
                <w:lang w:val="en-US" w:eastAsia="zh-CN"/>
              </w:rPr>
              <w:t>主要建设内容</w:t>
            </w:r>
            <w:r>
              <w:rPr>
                <w:rFonts w:hint="eastAsia" w:ascii="仿宋" w:hAnsi="仿宋" w:eastAsia="仿宋" w:cs="仿宋"/>
                <w:b/>
                <w:color w:val="auto"/>
                <w:sz w:val="21"/>
                <w:szCs w:val="21"/>
              </w:rPr>
              <w:t>一览表</w:t>
            </w:r>
          </w:p>
          <w:tbl>
            <w:tblPr>
              <w:tblStyle w:val="32"/>
              <w:tblW w:w="850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9"/>
              <w:gridCol w:w="1115"/>
              <w:gridCol w:w="5285"/>
              <w:gridCol w:w="1445"/>
            </w:tblGrid>
            <w:tr w14:paraId="4A7661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tcBorders>
                    <w:tl2br w:val="nil"/>
                    <w:tr2bl w:val="nil"/>
                  </w:tcBorders>
                  <w:noWrap w:val="0"/>
                  <w:vAlign w:val="center"/>
                </w:tcPr>
                <w:p w14:paraId="3C0C6696">
                  <w:pPr>
                    <w:tabs>
                      <w:tab w:val="left" w:pos="6096"/>
                    </w:tabs>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工程类别</w:t>
                  </w:r>
                </w:p>
              </w:tc>
              <w:tc>
                <w:tcPr>
                  <w:tcW w:w="1115" w:type="dxa"/>
                  <w:tcBorders>
                    <w:tl2br w:val="nil"/>
                    <w:tr2bl w:val="nil"/>
                  </w:tcBorders>
                  <w:noWrap w:val="0"/>
                  <w:vAlign w:val="center"/>
                </w:tcPr>
                <w:p w14:paraId="60AD7072">
                  <w:pPr>
                    <w:tabs>
                      <w:tab w:val="left" w:pos="6096"/>
                    </w:tabs>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rPr>
                    <w:t>工程</w:t>
                  </w:r>
                  <w:r>
                    <w:rPr>
                      <w:rFonts w:hint="eastAsia" w:ascii="仿宋" w:hAnsi="仿宋" w:eastAsia="仿宋" w:cs="仿宋"/>
                      <w:b/>
                      <w:color w:val="000000"/>
                      <w:sz w:val="21"/>
                      <w:szCs w:val="21"/>
                      <w:lang w:eastAsia="zh-CN"/>
                    </w:rPr>
                    <w:t>名称</w:t>
                  </w:r>
                </w:p>
              </w:tc>
              <w:tc>
                <w:tcPr>
                  <w:tcW w:w="5285" w:type="dxa"/>
                  <w:tcBorders>
                    <w:tl2br w:val="nil"/>
                    <w:tr2bl w:val="nil"/>
                  </w:tcBorders>
                  <w:noWrap w:val="0"/>
                  <w:vAlign w:val="center"/>
                </w:tcPr>
                <w:p w14:paraId="5F4D282F">
                  <w:pPr>
                    <w:tabs>
                      <w:tab w:val="left" w:pos="6096"/>
                    </w:tabs>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rPr>
                    <w:t>工程内容及规模</w:t>
                  </w:r>
                </w:p>
              </w:tc>
              <w:tc>
                <w:tcPr>
                  <w:tcW w:w="1445" w:type="dxa"/>
                  <w:tcBorders>
                    <w:tl2br w:val="nil"/>
                    <w:tr2bl w:val="nil"/>
                  </w:tcBorders>
                  <w:noWrap w:val="0"/>
                  <w:vAlign w:val="center"/>
                </w:tcPr>
                <w:p w14:paraId="134165BC">
                  <w:pPr>
                    <w:tabs>
                      <w:tab w:val="left" w:pos="6096"/>
                    </w:tabs>
                    <w:jc w:val="center"/>
                    <w:rPr>
                      <w:rFonts w:hint="eastAsia" w:ascii="仿宋" w:hAnsi="仿宋" w:eastAsia="仿宋" w:cs="仿宋"/>
                      <w:b/>
                      <w:color w:val="000000"/>
                      <w:sz w:val="21"/>
                      <w:szCs w:val="21"/>
                      <w:lang w:eastAsia="zh-CN"/>
                    </w:rPr>
                  </w:pPr>
                  <w:r>
                    <w:rPr>
                      <w:rFonts w:hint="eastAsia" w:ascii="仿宋" w:hAnsi="仿宋" w:eastAsia="仿宋" w:cs="仿宋"/>
                      <w:b/>
                      <w:color w:val="000000"/>
                      <w:sz w:val="21"/>
                      <w:szCs w:val="21"/>
                      <w:lang w:eastAsia="zh-CN"/>
                    </w:rPr>
                    <w:t>备注</w:t>
                  </w:r>
                </w:p>
              </w:tc>
            </w:tr>
            <w:tr w14:paraId="1827CC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tcBorders>
                    <w:tl2br w:val="nil"/>
                    <w:tr2bl w:val="nil"/>
                  </w:tcBorders>
                  <w:noWrap w:val="0"/>
                  <w:vAlign w:val="center"/>
                </w:tcPr>
                <w:p w14:paraId="54F47072">
                  <w:pPr>
                    <w:tabs>
                      <w:tab w:val="left" w:pos="6096"/>
                    </w:tabs>
                    <w:jc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rPr>
                    <w:t>主体工程</w:t>
                  </w:r>
                </w:p>
              </w:tc>
              <w:tc>
                <w:tcPr>
                  <w:tcW w:w="1115" w:type="dxa"/>
                  <w:tcBorders>
                    <w:tl2br w:val="nil"/>
                    <w:tr2bl w:val="nil"/>
                  </w:tcBorders>
                  <w:noWrap w:val="0"/>
                  <w:vAlign w:val="center"/>
                </w:tcPr>
                <w:p w14:paraId="5433BC16">
                  <w:pPr>
                    <w:tabs>
                      <w:tab w:val="left" w:pos="6096"/>
                    </w:tabs>
                    <w:jc w:val="center"/>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生产车间</w:t>
                  </w:r>
                </w:p>
              </w:tc>
              <w:tc>
                <w:tcPr>
                  <w:tcW w:w="5285" w:type="dxa"/>
                  <w:tcBorders>
                    <w:tl2br w:val="nil"/>
                    <w:tr2bl w:val="nil"/>
                  </w:tcBorders>
                  <w:noWrap w:val="0"/>
                  <w:vAlign w:val="center"/>
                </w:tcPr>
                <w:p w14:paraId="19C6924D">
                  <w:pPr>
                    <w:rPr>
                      <w:rFonts w:hint="default" w:ascii="仿宋" w:hAnsi="仿宋" w:eastAsia="仿宋" w:cs="仿宋"/>
                      <w:color w:val="000000"/>
                      <w:kern w:val="2"/>
                      <w:sz w:val="21"/>
                      <w:szCs w:val="21"/>
                      <w:u w:val="none"/>
                      <w:lang w:val="en-US" w:eastAsia="zh-CN" w:bidi="ar-SA"/>
                    </w:rPr>
                  </w:pPr>
                  <w:r>
                    <w:rPr>
                      <w:rFonts w:hint="eastAsia" w:ascii="仿宋" w:hAnsi="仿宋" w:eastAsia="仿宋" w:cs="仿宋"/>
                      <w:color w:val="000000"/>
                      <w:kern w:val="2"/>
                      <w:sz w:val="21"/>
                      <w:szCs w:val="21"/>
                      <w:u w:val="none"/>
                      <w:lang w:val="en-US" w:eastAsia="zh-CN" w:bidi="ar-SA"/>
                    </w:rPr>
                    <w:t>主要布置发酵罐、粉碎机、筛分机等生产设备，建设营养土、土壤改良剂生产线，形成年产10万吨营养土、土壤改良剂的生产能力</w:t>
                  </w:r>
                </w:p>
              </w:tc>
              <w:tc>
                <w:tcPr>
                  <w:tcW w:w="1445" w:type="dxa"/>
                  <w:tcBorders>
                    <w:tl2br w:val="nil"/>
                    <w:tr2bl w:val="nil"/>
                  </w:tcBorders>
                  <w:noWrap w:val="0"/>
                  <w:vAlign w:val="center"/>
                </w:tcPr>
                <w:p w14:paraId="4AB0BBFF">
                  <w:pPr>
                    <w:tabs>
                      <w:tab w:val="left" w:pos="6096"/>
                    </w:tabs>
                    <w:jc w:val="center"/>
                    <w:rPr>
                      <w:rFonts w:hint="eastAsia" w:ascii="仿宋" w:hAnsi="仿宋" w:eastAsia="仿宋" w:cs="仿宋"/>
                      <w:b w:val="0"/>
                      <w:bCs w:val="0"/>
                      <w:color w:val="000000"/>
                      <w:sz w:val="21"/>
                      <w:szCs w:val="21"/>
                      <w:lang w:eastAsia="zh-CN"/>
                    </w:rPr>
                  </w:pPr>
                  <w:r>
                    <w:rPr>
                      <w:rFonts w:hint="eastAsia" w:ascii="仿宋" w:hAnsi="仿宋" w:eastAsia="仿宋" w:cs="仿宋"/>
                      <w:b w:val="0"/>
                      <w:bCs w:val="0"/>
                      <w:color w:val="000000"/>
                      <w:sz w:val="21"/>
                      <w:szCs w:val="21"/>
                      <w:lang w:eastAsia="zh-CN"/>
                    </w:rPr>
                    <w:t>厂房租赁现有，设备新增</w:t>
                  </w:r>
                </w:p>
              </w:tc>
            </w:tr>
            <w:tr w14:paraId="580A3E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tcBorders>
                    <w:tl2br w:val="nil"/>
                    <w:tr2bl w:val="nil"/>
                  </w:tcBorders>
                  <w:noWrap w:val="0"/>
                  <w:vAlign w:val="center"/>
                </w:tcPr>
                <w:p w14:paraId="25C07BC8">
                  <w:pPr>
                    <w:tabs>
                      <w:tab w:val="left" w:pos="6096"/>
                    </w:tabs>
                    <w:jc w:val="center"/>
                    <w:rPr>
                      <w:rFonts w:hint="eastAsia" w:ascii="仿宋" w:hAnsi="仿宋" w:eastAsia="仿宋" w:cs="仿宋"/>
                      <w:b w:val="0"/>
                      <w:bCs w:val="0"/>
                      <w:color w:val="000000"/>
                      <w:sz w:val="21"/>
                      <w:szCs w:val="21"/>
                      <w:lang w:eastAsia="zh-CN"/>
                    </w:rPr>
                  </w:pPr>
                  <w:r>
                    <w:rPr>
                      <w:rFonts w:hint="eastAsia" w:ascii="仿宋" w:hAnsi="仿宋" w:eastAsia="仿宋" w:cs="仿宋"/>
                      <w:b w:val="0"/>
                      <w:bCs w:val="0"/>
                      <w:color w:val="000000"/>
                      <w:sz w:val="21"/>
                      <w:szCs w:val="21"/>
                      <w:lang w:eastAsia="zh-CN"/>
                    </w:rPr>
                    <w:t>辅助工程</w:t>
                  </w:r>
                </w:p>
              </w:tc>
              <w:tc>
                <w:tcPr>
                  <w:tcW w:w="1115" w:type="dxa"/>
                  <w:tcBorders>
                    <w:tl2br w:val="nil"/>
                    <w:tr2bl w:val="nil"/>
                  </w:tcBorders>
                  <w:noWrap w:val="0"/>
                  <w:vAlign w:val="center"/>
                </w:tcPr>
                <w:p w14:paraId="381D832D">
                  <w:pPr>
                    <w:tabs>
                      <w:tab w:val="left" w:pos="6096"/>
                    </w:tabs>
                    <w:jc w:val="center"/>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办公室</w:t>
                  </w:r>
                </w:p>
              </w:tc>
              <w:tc>
                <w:tcPr>
                  <w:tcW w:w="5285" w:type="dxa"/>
                  <w:tcBorders>
                    <w:tl2br w:val="nil"/>
                    <w:tr2bl w:val="nil"/>
                  </w:tcBorders>
                  <w:noWrap w:val="0"/>
                  <w:vAlign w:val="center"/>
                </w:tcPr>
                <w:p w14:paraId="500DD9CA">
                  <w:pPr>
                    <w:tabs>
                      <w:tab w:val="left" w:pos="6096"/>
                    </w:tabs>
                    <w:jc w:val="both"/>
                    <w:rPr>
                      <w:rFonts w:hint="eastAsia" w:ascii="仿宋" w:hAnsi="仿宋" w:eastAsia="仿宋" w:cs="仿宋"/>
                      <w:color w:val="000000"/>
                      <w:sz w:val="21"/>
                      <w:szCs w:val="21"/>
                      <w:u w:val="none"/>
                      <w:lang w:val="en-US" w:eastAsia="zh-CN"/>
                    </w:rPr>
                  </w:pPr>
                  <w:r>
                    <w:rPr>
                      <w:rFonts w:hint="eastAsia" w:ascii="仿宋" w:hAnsi="仿宋" w:eastAsia="仿宋" w:cs="仿宋"/>
                      <w:color w:val="000000"/>
                      <w:sz w:val="21"/>
                      <w:szCs w:val="21"/>
                      <w:u w:val="none"/>
                      <w:lang w:val="en-US" w:eastAsia="zh-CN"/>
                    </w:rPr>
                    <w:t>位于厂区北侧，建筑面积约100m</w:t>
                  </w:r>
                  <w:r>
                    <w:rPr>
                      <w:rFonts w:hint="eastAsia" w:ascii="仿宋" w:hAnsi="仿宋" w:eastAsia="仿宋" w:cs="仿宋"/>
                      <w:color w:val="000000"/>
                      <w:sz w:val="21"/>
                      <w:szCs w:val="21"/>
                      <w:u w:val="none"/>
                      <w:vertAlign w:val="superscript"/>
                      <w:lang w:val="en-US" w:eastAsia="zh-CN"/>
                    </w:rPr>
                    <w:t>2</w:t>
                  </w:r>
                  <w:r>
                    <w:rPr>
                      <w:rFonts w:hint="eastAsia" w:ascii="仿宋" w:hAnsi="仿宋" w:eastAsia="仿宋" w:cs="仿宋"/>
                      <w:color w:val="000000"/>
                      <w:sz w:val="21"/>
                      <w:szCs w:val="21"/>
                      <w:u w:val="none"/>
                      <w:lang w:val="en-US" w:eastAsia="zh-CN"/>
                    </w:rPr>
                    <w:t>，用于员工现场办公。</w:t>
                  </w:r>
                </w:p>
              </w:tc>
              <w:tc>
                <w:tcPr>
                  <w:tcW w:w="1445" w:type="dxa"/>
                  <w:tcBorders>
                    <w:tl2br w:val="nil"/>
                    <w:tr2bl w:val="nil"/>
                  </w:tcBorders>
                  <w:noWrap w:val="0"/>
                  <w:vAlign w:val="center"/>
                </w:tcPr>
                <w:p w14:paraId="128BD887">
                  <w:pPr>
                    <w:jc w:val="center"/>
                    <w:rPr>
                      <w:rFonts w:hint="eastAsia" w:ascii="仿宋" w:hAnsi="仿宋" w:eastAsia="仿宋" w:cs="仿宋"/>
                      <w:b w:val="0"/>
                      <w:bCs w:val="0"/>
                      <w:color w:val="000000"/>
                      <w:sz w:val="21"/>
                      <w:szCs w:val="21"/>
                      <w:lang w:eastAsia="zh-CN"/>
                    </w:rPr>
                  </w:pPr>
                  <w:r>
                    <w:rPr>
                      <w:rFonts w:hint="eastAsia" w:ascii="仿宋" w:hAnsi="仿宋" w:eastAsia="仿宋" w:cs="仿宋"/>
                      <w:color w:val="000000"/>
                      <w:sz w:val="21"/>
                      <w:szCs w:val="21"/>
                      <w:lang w:val="en-US" w:eastAsia="zh-CN"/>
                    </w:rPr>
                    <w:t>依托</w:t>
                  </w:r>
                </w:p>
              </w:tc>
            </w:tr>
            <w:tr w14:paraId="7C7A96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vMerge w:val="restart"/>
                  <w:tcBorders>
                    <w:tl2br w:val="nil"/>
                    <w:tr2bl w:val="nil"/>
                  </w:tcBorders>
                  <w:noWrap w:val="0"/>
                  <w:vAlign w:val="center"/>
                </w:tcPr>
                <w:p w14:paraId="729E2936">
                  <w:pPr>
                    <w:tabs>
                      <w:tab w:val="left" w:pos="6096"/>
                    </w:tabs>
                    <w:jc w:val="center"/>
                    <w:rPr>
                      <w:rFonts w:hint="eastAsia" w:ascii="仿宋" w:hAnsi="仿宋" w:eastAsia="仿宋" w:cs="仿宋"/>
                      <w:b w:val="0"/>
                      <w:bCs w:val="0"/>
                      <w:color w:val="000000"/>
                      <w:sz w:val="21"/>
                      <w:szCs w:val="21"/>
                      <w:lang w:eastAsia="zh-CN"/>
                    </w:rPr>
                  </w:pPr>
                  <w:r>
                    <w:rPr>
                      <w:rFonts w:hint="eastAsia" w:ascii="仿宋" w:hAnsi="仿宋" w:eastAsia="仿宋" w:cs="仿宋"/>
                      <w:b w:val="0"/>
                      <w:bCs w:val="0"/>
                      <w:color w:val="000000"/>
                      <w:sz w:val="21"/>
                      <w:szCs w:val="21"/>
                      <w:lang w:eastAsia="zh-CN"/>
                    </w:rPr>
                    <w:t>储运工程</w:t>
                  </w:r>
                </w:p>
              </w:tc>
              <w:tc>
                <w:tcPr>
                  <w:tcW w:w="1115" w:type="dxa"/>
                  <w:tcBorders>
                    <w:tl2br w:val="nil"/>
                    <w:tr2bl w:val="nil"/>
                  </w:tcBorders>
                  <w:noWrap w:val="0"/>
                  <w:vAlign w:val="center"/>
                </w:tcPr>
                <w:p w14:paraId="20251BEC">
                  <w:pPr>
                    <w:tabs>
                      <w:tab w:val="left" w:pos="6096"/>
                    </w:tabs>
                    <w:jc w:val="center"/>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sz w:val="21"/>
                      <w:szCs w:val="21"/>
                      <w:lang w:val="en-US" w:eastAsia="zh-CN"/>
                    </w:rPr>
                    <w:t>原材料库</w:t>
                  </w:r>
                </w:p>
              </w:tc>
              <w:tc>
                <w:tcPr>
                  <w:tcW w:w="5285" w:type="dxa"/>
                  <w:tcBorders>
                    <w:tl2br w:val="nil"/>
                    <w:tr2bl w:val="nil"/>
                  </w:tcBorders>
                  <w:noWrap w:val="0"/>
                  <w:vAlign w:val="center"/>
                </w:tcPr>
                <w:p w14:paraId="2B64F674">
                  <w:pPr>
                    <w:tabs>
                      <w:tab w:val="left" w:pos="6096"/>
                    </w:tabs>
                    <w:jc w:val="both"/>
                    <w:rPr>
                      <w:rFonts w:hint="eastAsia" w:ascii="仿宋" w:hAnsi="仿宋" w:eastAsia="仿宋" w:cs="仿宋"/>
                      <w:color w:val="000000"/>
                      <w:kern w:val="2"/>
                      <w:sz w:val="21"/>
                      <w:szCs w:val="21"/>
                      <w:u w:val="none"/>
                      <w:lang w:val="en-US" w:eastAsia="zh-CN" w:bidi="ar-SA"/>
                    </w:rPr>
                  </w:pPr>
                  <w:r>
                    <w:rPr>
                      <w:rFonts w:hint="eastAsia" w:ascii="仿宋" w:hAnsi="仿宋" w:eastAsia="仿宋" w:cs="仿宋"/>
                      <w:color w:val="000000"/>
                      <w:kern w:val="2"/>
                      <w:sz w:val="21"/>
                      <w:szCs w:val="21"/>
                      <w:u w:val="none"/>
                      <w:lang w:val="en-US" w:eastAsia="zh-CN" w:bidi="ar-SA"/>
                    </w:rPr>
                    <w:t>位于生产车间西南侧，面积约600㎡，用于污泥等原辅料贮存，其中污泥暂存区面积为300㎡。</w:t>
                  </w:r>
                </w:p>
              </w:tc>
              <w:tc>
                <w:tcPr>
                  <w:tcW w:w="1445" w:type="dxa"/>
                  <w:tcBorders>
                    <w:tl2br w:val="nil"/>
                    <w:tr2bl w:val="nil"/>
                  </w:tcBorders>
                  <w:noWrap w:val="0"/>
                  <w:vAlign w:val="center"/>
                </w:tcPr>
                <w:p w14:paraId="76BAA66A">
                  <w:pPr>
                    <w:jc w:val="center"/>
                    <w:rPr>
                      <w:rFonts w:hint="eastAsia" w:ascii="仿宋" w:hAnsi="仿宋" w:eastAsia="仿宋" w:cs="仿宋"/>
                      <w:b w:val="0"/>
                      <w:bCs w:val="0"/>
                      <w:color w:val="000000"/>
                      <w:sz w:val="21"/>
                      <w:szCs w:val="21"/>
                      <w:lang w:eastAsia="zh-CN"/>
                    </w:rPr>
                  </w:pPr>
                  <w:r>
                    <w:rPr>
                      <w:rFonts w:hint="eastAsia" w:ascii="仿宋" w:hAnsi="仿宋" w:eastAsia="仿宋" w:cs="仿宋"/>
                      <w:color w:val="000000"/>
                      <w:sz w:val="21"/>
                      <w:szCs w:val="21"/>
                      <w:lang w:val="en-US" w:eastAsia="zh-CN"/>
                    </w:rPr>
                    <w:t>依托</w:t>
                  </w:r>
                </w:p>
              </w:tc>
            </w:tr>
            <w:tr w14:paraId="53D0C3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14:paraId="5F2DE68A">
                  <w:pPr>
                    <w:tabs>
                      <w:tab w:val="left" w:pos="6096"/>
                    </w:tabs>
                    <w:jc w:val="center"/>
                    <w:rPr>
                      <w:rFonts w:hint="eastAsia" w:ascii="仿宋" w:hAnsi="仿宋" w:eastAsia="仿宋" w:cs="仿宋"/>
                      <w:b w:val="0"/>
                      <w:bCs w:val="0"/>
                      <w:color w:val="000000"/>
                      <w:sz w:val="21"/>
                      <w:szCs w:val="21"/>
                      <w:lang w:eastAsia="zh-CN"/>
                    </w:rPr>
                  </w:pPr>
                </w:p>
              </w:tc>
              <w:tc>
                <w:tcPr>
                  <w:tcW w:w="1115" w:type="dxa"/>
                  <w:tcBorders>
                    <w:tl2br w:val="nil"/>
                    <w:tr2bl w:val="nil"/>
                  </w:tcBorders>
                  <w:noWrap w:val="0"/>
                  <w:vAlign w:val="center"/>
                </w:tcPr>
                <w:p w14:paraId="6E47AA8B">
                  <w:pPr>
                    <w:tabs>
                      <w:tab w:val="left" w:pos="6096"/>
                    </w:tabs>
                    <w:jc w:val="center"/>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成品库</w:t>
                  </w:r>
                </w:p>
              </w:tc>
              <w:tc>
                <w:tcPr>
                  <w:tcW w:w="5285" w:type="dxa"/>
                  <w:tcBorders>
                    <w:tl2br w:val="nil"/>
                    <w:tr2bl w:val="nil"/>
                  </w:tcBorders>
                  <w:noWrap w:val="0"/>
                  <w:vAlign w:val="center"/>
                </w:tcPr>
                <w:p w14:paraId="606BBC6E">
                  <w:pPr>
                    <w:tabs>
                      <w:tab w:val="left" w:pos="6096"/>
                    </w:tabs>
                    <w:jc w:val="both"/>
                    <w:rPr>
                      <w:rFonts w:hint="eastAsia" w:ascii="仿宋" w:hAnsi="仿宋" w:eastAsia="仿宋" w:cs="仿宋"/>
                      <w:color w:val="000000"/>
                      <w:kern w:val="2"/>
                      <w:sz w:val="21"/>
                      <w:szCs w:val="21"/>
                      <w:highlight w:val="none"/>
                      <w:u w:val="none"/>
                      <w:lang w:val="en-US" w:eastAsia="zh-CN" w:bidi="ar-SA"/>
                    </w:rPr>
                  </w:pPr>
                  <w:r>
                    <w:rPr>
                      <w:rFonts w:hint="eastAsia" w:ascii="仿宋" w:hAnsi="仿宋" w:eastAsia="仿宋" w:cs="仿宋"/>
                      <w:color w:val="000000"/>
                      <w:kern w:val="2"/>
                      <w:sz w:val="21"/>
                      <w:szCs w:val="21"/>
                      <w:highlight w:val="none"/>
                      <w:u w:val="none"/>
                      <w:lang w:val="en-US" w:eastAsia="zh-CN" w:bidi="ar-SA"/>
                    </w:rPr>
                    <w:t>位于生产车间东北侧，面积约200</w:t>
                  </w:r>
                  <w:r>
                    <w:rPr>
                      <w:rFonts w:hint="eastAsia" w:ascii="仿宋" w:hAnsi="仿宋" w:eastAsia="仿宋" w:cs="仿宋"/>
                      <w:color w:val="000000"/>
                      <w:sz w:val="21"/>
                      <w:szCs w:val="21"/>
                      <w:highlight w:val="none"/>
                      <w:u w:val="none"/>
                      <w:lang w:val="en-US" w:eastAsia="zh-CN"/>
                    </w:rPr>
                    <w:t>m</w:t>
                  </w:r>
                  <w:r>
                    <w:rPr>
                      <w:rFonts w:hint="eastAsia" w:ascii="仿宋" w:hAnsi="仿宋" w:eastAsia="仿宋" w:cs="仿宋"/>
                      <w:color w:val="000000"/>
                      <w:sz w:val="21"/>
                      <w:szCs w:val="21"/>
                      <w:highlight w:val="none"/>
                      <w:u w:val="none"/>
                      <w:vertAlign w:val="superscript"/>
                      <w:lang w:val="en-US" w:eastAsia="zh-CN"/>
                    </w:rPr>
                    <w:t>2</w:t>
                  </w:r>
                  <w:r>
                    <w:rPr>
                      <w:rFonts w:hint="eastAsia" w:ascii="仿宋" w:hAnsi="仿宋" w:eastAsia="仿宋" w:cs="仿宋"/>
                      <w:color w:val="000000"/>
                      <w:sz w:val="21"/>
                      <w:szCs w:val="21"/>
                      <w:highlight w:val="none"/>
                      <w:u w:val="none"/>
                      <w:lang w:val="en-US" w:eastAsia="zh-CN"/>
                    </w:rPr>
                    <w:t>，用于营养土、土壤改良剂等成品储存。</w:t>
                  </w:r>
                </w:p>
              </w:tc>
              <w:tc>
                <w:tcPr>
                  <w:tcW w:w="1445" w:type="dxa"/>
                  <w:tcBorders>
                    <w:tl2br w:val="nil"/>
                    <w:tr2bl w:val="nil"/>
                  </w:tcBorders>
                  <w:noWrap w:val="0"/>
                  <w:vAlign w:val="center"/>
                </w:tcPr>
                <w:p w14:paraId="282A4FE9">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依托</w:t>
                  </w:r>
                </w:p>
              </w:tc>
            </w:tr>
            <w:tr w14:paraId="78C580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vMerge w:val="restart"/>
                  <w:tcBorders>
                    <w:tl2br w:val="nil"/>
                    <w:tr2bl w:val="nil"/>
                  </w:tcBorders>
                  <w:noWrap w:val="0"/>
                  <w:vAlign w:val="center"/>
                </w:tcPr>
                <w:p w14:paraId="04B0A03E">
                  <w:pPr>
                    <w:tabs>
                      <w:tab w:val="left" w:pos="6096"/>
                    </w:tabs>
                    <w:jc w:val="center"/>
                    <w:rPr>
                      <w:rFonts w:hint="eastAsia" w:ascii="仿宋" w:hAnsi="仿宋" w:eastAsia="仿宋" w:cs="仿宋"/>
                      <w:b w:val="0"/>
                      <w:bCs w:val="0"/>
                      <w:color w:val="FF0000"/>
                      <w:sz w:val="21"/>
                      <w:szCs w:val="21"/>
                    </w:rPr>
                  </w:pPr>
                  <w:r>
                    <w:rPr>
                      <w:rFonts w:hint="eastAsia" w:ascii="仿宋" w:hAnsi="仿宋" w:eastAsia="仿宋" w:cs="仿宋"/>
                      <w:color w:val="auto"/>
                      <w:sz w:val="21"/>
                      <w:szCs w:val="21"/>
                    </w:rPr>
                    <w:t>公用工程</w:t>
                  </w:r>
                </w:p>
              </w:tc>
              <w:tc>
                <w:tcPr>
                  <w:tcW w:w="1115" w:type="dxa"/>
                  <w:tcBorders>
                    <w:tl2br w:val="nil"/>
                    <w:tr2bl w:val="nil"/>
                  </w:tcBorders>
                  <w:noWrap w:val="0"/>
                  <w:vAlign w:val="center"/>
                </w:tcPr>
                <w:p w14:paraId="49660AB6">
                  <w:pPr>
                    <w:tabs>
                      <w:tab w:val="left" w:pos="6096"/>
                    </w:tabs>
                    <w:jc w:val="center"/>
                    <w:rPr>
                      <w:rFonts w:hint="eastAsia" w:ascii="仿宋" w:hAnsi="仿宋" w:eastAsia="仿宋" w:cs="仿宋"/>
                      <w:b w:val="0"/>
                      <w:bCs w:val="0"/>
                      <w:color w:val="000000"/>
                      <w:sz w:val="21"/>
                      <w:szCs w:val="21"/>
                      <w:lang w:val="en-US" w:eastAsia="zh-CN"/>
                    </w:rPr>
                  </w:pPr>
                  <w:r>
                    <w:rPr>
                      <w:rFonts w:hint="eastAsia" w:ascii="仿宋" w:hAnsi="仿宋" w:eastAsia="仿宋" w:cs="仿宋"/>
                      <w:color w:val="000000"/>
                      <w:sz w:val="21"/>
                      <w:szCs w:val="21"/>
                    </w:rPr>
                    <w:t>给水系统</w:t>
                  </w:r>
                </w:p>
              </w:tc>
              <w:tc>
                <w:tcPr>
                  <w:tcW w:w="5285" w:type="dxa"/>
                  <w:tcBorders>
                    <w:tl2br w:val="nil"/>
                    <w:tr2bl w:val="nil"/>
                  </w:tcBorders>
                  <w:noWrap w:val="0"/>
                  <w:vAlign w:val="center"/>
                </w:tcPr>
                <w:p w14:paraId="5397F93C">
                  <w:pPr>
                    <w:tabs>
                      <w:tab w:val="left" w:pos="6096"/>
                    </w:tabs>
                    <w:jc w:val="lef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用水由园区市政</w:t>
                  </w:r>
                  <w:r>
                    <w:rPr>
                      <w:rFonts w:hint="eastAsia" w:ascii="仿宋" w:hAnsi="仿宋" w:eastAsia="仿宋" w:cs="仿宋"/>
                      <w:color w:val="000000"/>
                      <w:sz w:val="21"/>
                      <w:szCs w:val="21"/>
                      <w:highlight w:val="none"/>
                      <w:u w:val="none"/>
                      <w:lang w:val="en-US" w:eastAsia="zh-CN"/>
                    </w:rPr>
                    <w:t>给水管网提供。</w:t>
                  </w:r>
                </w:p>
              </w:tc>
              <w:tc>
                <w:tcPr>
                  <w:tcW w:w="1445" w:type="dxa"/>
                  <w:tcBorders>
                    <w:tl2br w:val="nil"/>
                    <w:tr2bl w:val="nil"/>
                  </w:tcBorders>
                  <w:noWrap w:val="0"/>
                  <w:vAlign w:val="center"/>
                </w:tcPr>
                <w:p w14:paraId="0941060A">
                  <w:pPr>
                    <w:jc w:val="center"/>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lang w:eastAsia="zh-CN"/>
                    </w:rPr>
                    <w:t>依托现有管网</w:t>
                  </w:r>
                </w:p>
              </w:tc>
            </w:tr>
            <w:tr w14:paraId="015D66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14:paraId="12292B38">
                  <w:pPr>
                    <w:tabs>
                      <w:tab w:val="left" w:pos="6096"/>
                    </w:tabs>
                    <w:jc w:val="center"/>
                    <w:rPr>
                      <w:rFonts w:hint="eastAsia" w:ascii="仿宋" w:hAnsi="仿宋" w:eastAsia="仿宋" w:cs="仿宋"/>
                      <w:color w:val="FF0000"/>
                      <w:sz w:val="21"/>
                      <w:szCs w:val="21"/>
                    </w:rPr>
                  </w:pPr>
                </w:p>
              </w:tc>
              <w:tc>
                <w:tcPr>
                  <w:tcW w:w="1115" w:type="dxa"/>
                  <w:tcBorders>
                    <w:tl2br w:val="nil"/>
                    <w:tr2bl w:val="nil"/>
                  </w:tcBorders>
                  <w:noWrap w:val="0"/>
                  <w:vAlign w:val="center"/>
                </w:tcPr>
                <w:p w14:paraId="263A57CD">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排水系统</w:t>
                  </w:r>
                </w:p>
              </w:tc>
              <w:tc>
                <w:tcPr>
                  <w:tcW w:w="5285" w:type="dxa"/>
                  <w:tcBorders>
                    <w:tl2br w:val="nil"/>
                    <w:tr2bl w:val="nil"/>
                  </w:tcBorders>
                  <w:noWrap w:val="0"/>
                  <w:vAlign w:val="center"/>
                </w:tcPr>
                <w:p w14:paraId="13DA07BB">
                  <w:pPr>
                    <w:tabs>
                      <w:tab w:val="left" w:pos="6096"/>
                    </w:tabs>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采用雨污分流、污污分流制。雨水接入园区市政雨水管网；喷淋废水、清洗废水设污水处理站处理后回用不外排，生活污水经化粪池后</w:t>
                  </w:r>
                  <w:r>
                    <w:rPr>
                      <w:rFonts w:hint="eastAsia" w:ascii="仿宋" w:hAnsi="仿宋" w:eastAsia="仿宋" w:cs="仿宋"/>
                      <w:b w:val="0"/>
                      <w:bCs/>
                      <w:color w:val="auto"/>
                      <w:sz w:val="21"/>
                      <w:szCs w:val="21"/>
                      <w:highlight w:val="none"/>
                      <w:lang w:val="en-US" w:eastAsia="zh-CN"/>
                    </w:rPr>
                    <w:t>接入</w:t>
                  </w:r>
                  <w:r>
                    <w:rPr>
                      <w:rFonts w:hint="eastAsia" w:ascii="仿宋" w:hAnsi="仿宋" w:eastAsia="仿宋" w:cs="仿宋"/>
                      <w:color w:val="auto"/>
                      <w:sz w:val="21"/>
                      <w:szCs w:val="21"/>
                      <w:highlight w:val="none"/>
                      <w:lang w:val="en-US" w:eastAsia="zh-CN"/>
                    </w:rPr>
                    <w:t>市政污水管网进上窑工业聚集区污水处理厂集中处理。</w:t>
                  </w:r>
                </w:p>
              </w:tc>
              <w:tc>
                <w:tcPr>
                  <w:tcW w:w="1445" w:type="dxa"/>
                  <w:tcBorders>
                    <w:tl2br w:val="nil"/>
                    <w:tr2bl w:val="nil"/>
                  </w:tcBorders>
                  <w:noWrap w:val="0"/>
                  <w:vAlign w:val="center"/>
                </w:tcPr>
                <w:p w14:paraId="0ADAD1DA">
                  <w:pPr>
                    <w:jc w:val="center"/>
                    <w:rPr>
                      <w:rFonts w:hint="eastAsia" w:ascii="仿宋" w:hAnsi="仿宋" w:eastAsia="仿宋" w:cs="仿宋"/>
                      <w:b w:val="0"/>
                      <w:bCs w:val="0"/>
                      <w:color w:val="auto"/>
                      <w:sz w:val="21"/>
                      <w:szCs w:val="21"/>
                      <w:lang w:eastAsia="zh-CN"/>
                    </w:rPr>
                  </w:pPr>
                  <w:r>
                    <w:rPr>
                      <w:rFonts w:hint="eastAsia" w:ascii="仿宋" w:hAnsi="仿宋" w:eastAsia="仿宋" w:cs="仿宋"/>
                      <w:color w:val="auto"/>
                      <w:sz w:val="21"/>
                      <w:szCs w:val="21"/>
                      <w:lang w:val="en-US" w:eastAsia="zh-CN"/>
                    </w:rPr>
                    <w:t>雨水、生活污水管网、化粪池依托现有</w:t>
                  </w:r>
                </w:p>
              </w:tc>
            </w:tr>
            <w:tr w14:paraId="48269A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vMerge w:val="continue"/>
                  <w:tcBorders>
                    <w:tl2br w:val="nil"/>
                    <w:tr2bl w:val="nil"/>
                  </w:tcBorders>
                  <w:noWrap w:val="0"/>
                  <w:vAlign w:val="center"/>
                </w:tcPr>
                <w:p w14:paraId="78FE5684">
                  <w:pPr>
                    <w:tabs>
                      <w:tab w:val="left" w:pos="6096"/>
                    </w:tabs>
                    <w:jc w:val="center"/>
                    <w:rPr>
                      <w:rFonts w:hint="eastAsia" w:ascii="仿宋" w:hAnsi="仿宋" w:eastAsia="仿宋" w:cs="仿宋"/>
                      <w:color w:val="FF0000"/>
                      <w:sz w:val="21"/>
                      <w:szCs w:val="21"/>
                    </w:rPr>
                  </w:pPr>
                </w:p>
              </w:tc>
              <w:tc>
                <w:tcPr>
                  <w:tcW w:w="1115" w:type="dxa"/>
                  <w:tcBorders>
                    <w:tl2br w:val="nil"/>
                    <w:tr2bl w:val="nil"/>
                  </w:tcBorders>
                  <w:noWrap w:val="0"/>
                  <w:vAlign w:val="center"/>
                </w:tcPr>
                <w:p w14:paraId="4956F39F">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供电系统</w:t>
                  </w:r>
                </w:p>
              </w:tc>
              <w:tc>
                <w:tcPr>
                  <w:tcW w:w="5285" w:type="dxa"/>
                  <w:tcBorders>
                    <w:tl2br w:val="nil"/>
                    <w:tr2bl w:val="nil"/>
                  </w:tcBorders>
                  <w:noWrap w:val="0"/>
                  <w:vAlign w:val="center"/>
                </w:tcPr>
                <w:p w14:paraId="2E0660B2">
                  <w:pPr>
                    <w:tabs>
                      <w:tab w:val="left" w:pos="6096"/>
                    </w:tabs>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由</w:t>
                  </w:r>
                  <w:r>
                    <w:rPr>
                      <w:rFonts w:hint="eastAsia" w:ascii="仿宋" w:hAnsi="仿宋" w:eastAsia="仿宋" w:cs="仿宋"/>
                      <w:color w:val="auto"/>
                      <w:sz w:val="21"/>
                      <w:szCs w:val="21"/>
                      <w:u w:val="none"/>
                      <w:lang w:val="en-US" w:eastAsia="zh-CN"/>
                    </w:rPr>
                    <w:t>市政供电管网提供，年用电量约100万kw.h</w:t>
                  </w:r>
                </w:p>
              </w:tc>
              <w:tc>
                <w:tcPr>
                  <w:tcW w:w="1445" w:type="dxa"/>
                  <w:tcBorders>
                    <w:tl2br w:val="nil"/>
                    <w:tr2bl w:val="nil"/>
                  </w:tcBorders>
                  <w:noWrap w:val="0"/>
                  <w:vAlign w:val="center"/>
                </w:tcPr>
                <w:p w14:paraId="778E5078">
                  <w:pPr>
                    <w:jc w:val="center"/>
                    <w:rPr>
                      <w:rFonts w:hint="eastAsia" w:ascii="仿宋" w:hAnsi="仿宋" w:eastAsia="仿宋" w:cs="仿宋"/>
                      <w:b w:val="0"/>
                      <w:bCs w:val="0"/>
                      <w:color w:val="auto"/>
                      <w:sz w:val="21"/>
                      <w:szCs w:val="21"/>
                      <w:lang w:eastAsia="zh-CN"/>
                    </w:rPr>
                  </w:pPr>
                  <w:r>
                    <w:rPr>
                      <w:rFonts w:hint="eastAsia" w:ascii="仿宋" w:hAnsi="仿宋" w:eastAsia="仿宋" w:cs="仿宋"/>
                      <w:color w:val="auto"/>
                      <w:sz w:val="21"/>
                      <w:szCs w:val="21"/>
                      <w:lang w:val="en-US" w:eastAsia="zh-CN"/>
                    </w:rPr>
                    <w:t>依托</w:t>
                  </w:r>
                </w:p>
              </w:tc>
            </w:tr>
            <w:tr w14:paraId="65B798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9" w:type="dxa"/>
                  <w:vMerge w:val="restart"/>
                  <w:tcBorders>
                    <w:tl2br w:val="nil"/>
                    <w:tr2bl w:val="nil"/>
                  </w:tcBorders>
                  <w:noWrap w:val="0"/>
                  <w:vAlign w:val="center"/>
                </w:tcPr>
                <w:p w14:paraId="58A2C096">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环保工程</w:t>
                  </w:r>
                </w:p>
              </w:tc>
              <w:tc>
                <w:tcPr>
                  <w:tcW w:w="1115" w:type="dxa"/>
                  <w:tcBorders>
                    <w:tl2br w:val="nil"/>
                    <w:tr2bl w:val="nil"/>
                  </w:tcBorders>
                  <w:noWrap w:val="0"/>
                  <w:vAlign w:val="center"/>
                </w:tcPr>
                <w:p w14:paraId="400FE6CF">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废水处理</w:t>
                  </w:r>
                </w:p>
              </w:tc>
              <w:tc>
                <w:tcPr>
                  <w:tcW w:w="5285" w:type="dxa"/>
                  <w:tcBorders>
                    <w:tl2br w:val="nil"/>
                    <w:tr2bl w:val="nil"/>
                  </w:tcBorders>
                  <w:noWrap w:val="0"/>
                  <w:vAlign w:val="center"/>
                </w:tcPr>
                <w:p w14:paraId="2CDFAD27">
                  <w:pPr>
                    <w:tabs>
                      <w:tab w:val="left" w:pos="6096"/>
                    </w:tabs>
                    <w:jc w:val="both"/>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none"/>
                      <w:lang w:val="en-US" w:eastAsia="zh-CN"/>
                    </w:rPr>
                    <w:t>生活污水经化粪池后</w:t>
                  </w:r>
                  <w:r>
                    <w:rPr>
                      <w:rFonts w:hint="eastAsia" w:ascii="仿宋" w:hAnsi="仿宋" w:eastAsia="仿宋" w:cs="仿宋"/>
                      <w:b w:val="0"/>
                      <w:bCs/>
                      <w:color w:val="auto"/>
                      <w:sz w:val="21"/>
                      <w:szCs w:val="21"/>
                      <w:highlight w:val="none"/>
                      <w:lang w:val="en-US" w:eastAsia="zh-CN"/>
                    </w:rPr>
                    <w:t>接入</w:t>
                  </w:r>
                  <w:r>
                    <w:rPr>
                      <w:rFonts w:hint="eastAsia" w:ascii="仿宋" w:hAnsi="仿宋" w:eastAsia="仿宋" w:cs="仿宋"/>
                      <w:color w:val="auto"/>
                      <w:sz w:val="21"/>
                      <w:szCs w:val="21"/>
                      <w:highlight w:val="none"/>
                      <w:lang w:val="en-US" w:eastAsia="zh-CN"/>
                    </w:rPr>
                    <w:t>市政污水管网进上窑工业聚集区污水处理厂集中处理；洗车废水、喷淋废水回用于生产。</w:t>
                  </w:r>
                </w:p>
              </w:tc>
              <w:tc>
                <w:tcPr>
                  <w:tcW w:w="1445" w:type="dxa"/>
                  <w:tcBorders>
                    <w:tl2br w:val="nil"/>
                    <w:tr2bl w:val="nil"/>
                  </w:tcBorders>
                  <w:noWrap w:val="0"/>
                  <w:vAlign w:val="center"/>
                </w:tcPr>
                <w:p w14:paraId="10934757">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依托</w:t>
                  </w:r>
                </w:p>
              </w:tc>
            </w:tr>
            <w:tr w14:paraId="6556BD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7" w:hRule="atLeast"/>
                <w:jc w:val="center"/>
              </w:trPr>
              <w:tc>
                <w:tcPr>
                  <w:tcW w:w="659" w:type="dxa"/>
                  <w:vMerge w:val="continue"/>
                  <w:tcBorders>
                    <w:tl2br w:val="nil"/>
                    <w:tr2bl w:val="nil"/>
                  </w:tcBorders>
                  <w:noWrap w:val="0"/>
                  <w:vAlign w:val="center"/>
                </w:tcPr>
                <w:p w14:paraId="153684B4">
                  <w:pPr>
                    <w:tabs>
                      <w:tab w:val="left" w:pos="6096"/>
                    </w:tabs>
                    <w:jc w:val="center"/>
                    <w:rPr>
                      <w:rFonts w:hint="eastAsia" w:ascii="仿宋" w:hAnsi="仿宋" w:eastAsia="仿宋" w:cs="仿宋"/>
                      <w:color w:val="auto"/>
                      <w:sz w:val="21"/>
                      <w:szCs w:val="21"/>
                    </w:rPr>
                  </w:pPr>
                </w:p>
              </w:tc>
              <w:tc>
                <w:tcPr>
                  <w:tcW w:w="1115" w:type="dxa"/>
                  <w:vMerge w:val="restart"/>
                  <w:tcBorders>
                    <w:tl2br w:val="nil"/>
                    <w:tr2bl w:val="nil"/>
                  </w:tcBorders>
                  <w:noWrap w:val="0"/>
                  <w:vAlign w:val="center"/>
                </w:tcPr>
                <w:p w14:paraId="3F0005C0">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废气处理</w:t>
                  </w:r>
                </w:p>
              </w:tc>
              <w:tc>
                <w:tcPr>
                  <w:tcW w:w="5285" w:type="dxa"/>
                  <w:tcBorders>
                    <w:tl2br w:val="nil"/>
                    <w:tr2bl w:val="nil"/>
                  </w:tcBorders>
                  <w:noWrap w:val="0"/>
                  <w:vAlign w:val="center"/>
                </w:tcPr>
                <w:p w14:paraId="5AB96C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none"/>
                      <w:vertAlign w:val="baseline"/>
                      <w:lang w:val="en-US" w:eastAsia="zh-CN"/>
                    </w:rPr>
                    <w:t>加料废气、筛分破碎废气经集气罩收集至布袋除尘器处理，最终通过1根15m高排气筒排放（DA001）</w:t>
                  </w:r>
                </w:p>
              </w:tc>
              <w:tc>
                <w:tcPr>
                  <w:tcW w:w="1445" w:type="dxa"/>
                  <w:vMerge w:val="restart"/>
                  <w:tcBorders>
                    <w:tl2br w:val="nil"/>
                    <w:tr2bl w:val="nil"/>
                  </w:tcBorders>
                  <w:noWrap w:val="0"/>
                  <w:vAlign w:val="center"/>
                </w:tcPr>
                <w:p w14:paraId="3C987E9B">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新建</w:t>
                  </w:r>
                </w:p>
              </w:tc>
            </w:tr>
            <w:tr w14:paraId="0515C0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7" w:hRule="atLeast"/>
                <w:jc w:val="center"/>
              </w:trPr>
              <w:tc>
                <w:tcPr>
                  <w:tcW w:w="659" w:type="dxa"/>
                  <w:vMerge w:val="continue"/>
                  <w:tcBorders>
                    <w:tl2br w:val="nil"/>
                    <w:tr2bl w:val="nil"/>
                  </w:tcBorders>
                  <w:noWrap w:val="0"/>
                  <w:vAlign w:val="center"/>
                </w:tcPr>
                <w:p w14:paraId="239509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pPr>
                </w:p>
              </w:tc>
              <w:tc>
                <w:tcPr>
                  <w:tcW w:w="1115" w:type="dxa"/>
                  <w:vMerge w:val="continue"/>
                  <w:tcBorders>
                    <w:tl2br w:val="nil"/>
                    <w:tr2bl w:val="nil"/>
                  </w:tcBorders>
                  <w:noWrap w:val="0"/>
                  <w:vAlign w:val="center"/>
                </w:tcPr>
                <w:p w14:paraId="6D7C5A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pPr>
                </w:p>
              </w:tc>
              <w:tc>
                <w:tcPr>
                  <w:tcW w:w="5285" w:type="dxa"/>
                  <w:tcBorders>
                    <w:tl2br w:val="nil"/>
                    <w:tr2bl w:val="nil"/>
                  </w:tcBorders>
                  <w:noWrap w:val="0"/>
                  <w:vAlign w:val="center"/>
                </w:tcPr>
                <w:p w14:paraId="7716B2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none"/>
                      <w:vertAlign w:val="baseline"/>
                      <w:lang w:val="en-US" w:eastAsia="zh-CN"/>
                    </w:rPr>
                    <w:t>发酵废气、污泥暂存废气密闭收集至生物除臭塔处理，处理后经15m高排气筒（DA002）排放。</w:t>
                  </w:r>
                </w:p>
              </w:tc>
              <w:tc>
                <w:tcPr>
                  <w:tcW w:w="1445" w:type="dxa"/>
                  <w:vMerge w:val="continue"/>
                  <w:tcBorders>
                    <w:tl2br w:val="nil"/>
                    <w:tr2bl w:val="nil"/>
                  </w:tcBorders>
                  <w:noWrap w:val="0"/>
                  <w:vAlign w:val="center"/>
                </w:tcPr>
                <w:p w14:paraId="11D3AB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 w:hAnsi="仿宋" w:eastAsia="仿宋" w:cs="仿宋"/>
                      <w:color w:val="auto"/>
                      <w:sz w:val="21"/>
                      <w:szCs w:val="21"/>
                      <w:highlight w:val="yellow"/>
                      <w:lang w:val="en-US" w:eastAsia="zh-CN"/>
                    </w:rPr>
                  </w:pPr>
                </w:p>
              </w:tc>
            </w:tr>
            <w:tr w14:paraId="2C298E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vMerge w:val="continue"/>
                  <w:tcBorders>
                    <w:tl2br w:val="nil"/>
                    <w:tr2bl w:val="nil"/>
                  </w:tcBorders>
                  <w:noWrap w:val="0"/>
                  <w:vAlign w:val="center"/>
                </w:tcPr>
                <w:p w14:paraId="73AC11FE">
                  <w:pPr>
                    <w:tabs>
                      <w:tab w:val="left" w:pos="6096"/>
                    </w:tabs>
                    <w:jc w:val="center"/>
                    <w:rPr>
                      <w:rFonts w:hint="eastAsia" w:ascii="仿宋" w:hAnsi="仿宋" w:eastAsia="仿宋" w:cs="仿宋"/>
                      <w:color w:val="auto"/>
                      <w:sz w:val="21"/>
                      <w:szCs w:val="21"/>
                    </w:rPr>
                  </w:pPr>
                </w:p>
              </w:tc>
              <w:tc>
                <w:tcPr>
                  <w:tcW w:w="1115" w:type="dxa"/>
                  <w:tcBorders>
                    <w:tl2br w:val="nil"/>
                    <w:tr2bl w:val="nil"/>
                  </w:tcBorders>
                  <w:noWrap w:val="0"/>
                  <w:vAlign w:val="center"/>
                </w:tcPr>
                <w:p w14:paraId="090E6D60">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噪声处理</w:t>
                  </w:r>
                </w:p>
              </w:tc>
              <w:tc>
                <w:tcPr>
                  <w:tcW w:w="5285" w:type="dxa"/>
                  <w:tcBorders>
                    <w:tl2br w:val="nil"/>
                    <w:tr2bl w:val="nil"/>
                  </w:tcBorders>
                  <w:noWrap w:val="0"/>
                  <w:vAlign w:val="center"/>
                </w:tcPr>
                <w:p w14:paraId="402E19E8">
                  <w:pPr>
                    <w:tabs>
                      <w:tab w:val="left" w:pos="6096"/>
                    </w:tabs>
                    <w:jc w:val="both"/>
                    <w:rPr>
                      <w:rFonts w:hint="eastAsia" w:ascii="仿宋" w:hAnsi="仿宋" w:eastAsia="仿宋" w:cs="仿宋"/>
                      <w:color w:val="auto"/>
                      <w:sz w:val="21"/>
                      <w:szCs w:val="21"/>
                      <w:highlight w:val="yellow"/>
                      <w:lang w:eastAsia="zh-CN"/>
                    </w:rPr>
                  </w:pPr>
                  <w:r>
                    <w:rPr>
                      <w:rFonts w:hint="eastAsia" w:ascii="仿宋" w:hAnsi="仿宋" w:eastAsia="仿宋" w:cs="仿宋"/>
                      <w:color w:val="auto"/>
                      <w:sz w:val="21"/>
                      <w:szCs w:val="21"/>
                      <w:highlight w:val="none"/>
                      <w:lang w:val="en-US" w:eastAsia="zh-CN"/>
                    </w:rPr>
                    <w:t>优先选取低噪声设备，合理布设设备，加强设备维护、加强厂区周边绿化等措施。</w:t>
                  </w:r>
                </w:p>
              </w:tc>
              <w:tc>
                <w:tcPr>
                  <w:tcW w:w="1445" w:type="dxa"/>
                  <w:tcBorders>
                    <w:tl2br w:val="nil"/>
                    <w:tr2bl w:val="nil"/>
                  </w:tcBorders>
                  <w:noWrap w:val="0"/>
                  <w:vAlign w:val="center"/>
                </w:tcPr>
                <w:p w14:paraId="5A4023E9">
                  <w:pPr>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新建</w:t>
                  </w:r>
                </w:p>
              </w:tc>
            </w:tr>
            <w:tr w14:paraId="092F9F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vMerge w:val="continue"/>
                  <w:tcBorders>
                    <w:tl2br w:val="nil"/>
                    <w:tr2bl w:val="nil"/>
                  </w:tcBorders>
                  <w:noWrap w:val="0"/>
                  <w:vAlign w:val="center"/>
                </w:tcPr>
                <w:p w14:paraId="30E4136F">
                  <w:pPr>
                    <w:tabs>
                      <w:tab w:val="left" w:pos="6096"/>
                    </w:tabs>
                    <w:jc w:val="center"/>
                    <w:rPr>
                      <w:rFonts w:hint="eastAsia" w:ascii="仿宋" w:hAnsi="仿宋" w:eastAsia="仿宋" w:cs="仿宋"/>
                      <w:color w:val="auto"/>
                      <w:sz w:val="21"/>
                      <w:szCs w:val="21"/>
                    </w:rPr>
                  </w:pPr>
                </w:p>
              </w:tc>
              <w:tc>
                <w:tcPr>
                  <w:tcW w:w="1115" w:type="dxa"/>
                  <w:tcBorders>
                    <w:tl2br w:val="nil"/>
                    <w:tr2bl w:val="nil"/>
                  </w:tcBorders>
                  <w:noWrap w:val="0"/>
                  <w:vAlign w:val="center"/>
                </w:tcPr>
                <w:p w14:paraId="2B85620F">
                  <w:pPr>
                    <w:tabs>
                      <w:tab w:val="left" w:pos="6096"/>
                    </w:tabs>
                    <w:jc w:val="center"/>
                    <w:rPr>
                      <w:rFonts w:hint="eastAsia" w:ascii="仿宋" w:hAnsi="仿宋" w:eastAsia="仿宋" w:cs="仿宋"/>
                      <w:color w:val="auto"/>
                      <w:sz w:val="21"/>
                      <w:szCs w:val="21"/>
                    </w:rPr>
                  </w:pPr>
                  <w:r>
                    <w:rPr>
                      <w:rFonts w:hint="eastAsia" w:ascii="仿宋" w:hAnsi="仿宋" w:eastAsia="仿宋" w:cs="仿宋"/>
                      <w:color w:val="auto"/>
                      <w:sz w:val="21"/>
                      <w:szCs w:val="21"/>
                    </w:rPr>
                    <w:t>固废处理</w:t>
                  </w:r>
                </w:p>
              </w:tc>
              <w:tc>
                <w:tcPr>
                  <w:tcW w:w="5285" w:type="dxa"/>
                  <w:tcBorders>
                    <w:tl2br w:val="nil"/>
                    <w:tr2bl w:val="nil"/>
                  </w:tcBorders>
                  <w:noWrap w:val="0"/>
                  <w:vAlign w:val="center"/>
                </w:tcPr>
                <w:p w14:paraId="17A26CD5">
                  <w:pPr>
                    <w:tabs>
                      <w:tab w:val="left" w:pos="6096"/>
                    </w:tabs>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一般工业固废设一般固废暂存间（15m</w:t>
                  </w:r>
                  <w:r>
                    <w:rPr>
                      <w:rFonts w:hint="eastAsia" w:ascii="仿宋" w:hAnsi="仿宋" w:eastAsia="仿宋" w:cs="仿宋"/>
                      <w:color w:val="auto"/>
                      <w:sz w:val="21"/>
                      <w:szCs w:val="21"/>
                      <w:highlight w:val="none"/>
                      <w:vertAlign w:val="superscript"/>
                      <w:lang w:val="en-US" w:eastAsia="zh-CN"/>
                    </w:rPr>
                    <w:t>2</w:t>
                  </w:r>
                  <w:r>
                    <w:rPr>
                      <w:rFonts w:hint="eastAsia" w:ascii="仿宋" w:hAnsi="仿宋" w:eastAsia="仿宋" w:cs="仿宋"/>
                      <w:color w:val="auto"/>
                      <w:sz w:val="21"/>
                      <w:szCs w:val="21"/>
                      <w:highlight w:val="none"/>
                      <w:lang w:val="en-US" w:eastAsia="zh-CN"/>
                    </w:rPr>
                    <w:t>，车间内西侧）收集后，综合处理；危险废物设危废仓库（5m</w:t>
                  </w:r>
                  <w:r>
                    <w:rPr>
                      <w:rFonts w:hint="eastAsia" w:ascii="仿宋" w:hAnsi="仿宋" w:eastAsia="仿宋" w:cs="仿宋"/>
                      <w:color w:val="auto"/>
                      <w:sz w:val="21"/>
                      <w:szCs w:val="21"/>
                      <w:highlight w:val="none"/>
                      <w:vertAlign w:val="superscript"/>
                      <w:lang w:val="en-US" w:eastAsia="zh-CN"/>
                    </w:rPr>
                    <w:t>2</w:t>
                  </w:r>
                  <w:r>
                    <w:rPr>
                      <w:rFonts w:hint="eastAsia" w:ascii="仿宋" w:hAnsi="仿宋" w:eastAsia="仿宋" w:cs="仿宋"/>
                      <w:color w:val="auto"/>
                      <w:sz w:val="21"/>
                      <w:szCs w:val="21"/>
                      <w:highlight w:val="none"/>
                      <w:lang w:val="en-US" w:eastAsia="zh-CN"/>
                    </w:rPr>
                    <w:t>，车间内西侧）收集暂存后，交有危废资质的企业处置。</w:t>
                  </w:r>
                </w:p>
              </w:tc>
              <w:tc>
                <w:tcPr>
                  <w:tcW w:w="1445" w:type="dxa"/>
                  <w:tcBorders>
                    <w:tl2br w:val="nil"/>
                    <w:tr2bl w:val="nil"/>
                  </w:tcBorders>
                  <w:noWrap w:val="0"/>
                  <w:vAlign w:val="center"/>
                </w:tcPr>
                <w:p w14:paraId="52E44A94">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新建</w:t>
                  </w:r>
                </w:p>
              </w:tc>
            </w:tr>
            <w:tr w14:paraId="21E7EF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vMerge w:val="continue"/>
                  <w:tcBorders>
                    <w:tl2br w:val="nil"/>
                    <w:tr2bl w:val="nil"/>
                  </w:tcBorders>
                  <w:noWrap w:val="0"/>
                  <w:vAlign w:val="center"/>
                </w:tcPr>
                <w:p w14:paraId="7E00D0F6">
                  <w:pPr>
                    <w:tabs>
                      <w:tab w:val="left" w:pos="6096"/>
                    </w:tabs>
                    <w:jc w:val="center"/>
                    <w:rPr>
                      <w:rFonts w:hint="eastAsia" w:ascii="仿宋" w:hAnsi="仿宋" w:eastAsia="仿宋" w:cs="仿宋"/>
                      <w:color w:val="auto"/>
                      <w:sz w:val="21"/>
                      <w:szCs w:val="21"/>
                    </w:rPr>
                  </w:pPr>
                </w:p>
              </w:tc>
              <w:tc>
                <w:tcPr>
                  <w:tcW w:w="1115" w:type="dxa"/>
                  <w:tcBorders>
                    <w:tl2br w:val="nil"/>
                    <w:tr2bl w:val="nil"/>
                  </w:tcBorders>
                  <w:noWrap w:val="0"/>
                  <w:vAlign w:val="center"/>
                </w:tcPr>
                <w:p w14:paraId="5E2DC7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土壤、</w:t>
                  </w:r>
                  <w:r>
                    <w:rPr>
                      <w:rFonts w:hint="eastAsia" w:ascii="仿宋" w:hAnsi="仿宋" w:eastAsia="仿宋" w:cs="仿宋"/>
                      <w:color w:val="auto"/>
                      <w:sz w:val="21"/>
                      <w:szCs w:val="21"/>
                      <w:lang w:eastAsia="zh-CN"/>
                    </w:rPr>
                    <w:t>地下水防渗工程</w:t>
                  </w:r>
                </w:p>
              </w:tc>
              <w:tc>
                <w:tcPr>
                  <w:tcW w:w="5285" w:type="dxa"/>
                  <w:tcBorders>
                    <w:tl2br w:val="nil"/>
                    <w:tr2bl w:val="nil"/>
                  </w:tcBorders>
                  <w:noWrap w:val="0"/>
                  <w:vAlign w:val="center"/>
                </w:tcPr>
                <w:p w14:paraId="27A2F0D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按分区防渗要求，落实不同区域的防渗措施；其中重点防渗区包括：危废仓库、沉淀池、污泥暂存区；一般防渗区包括：原料仓库、成品仓库、一般固废暂存间等</w:t>
                  </w:r>
                </w:p>
              </w:tc>
              <w:tc>
                <w:tcPr>
                  <w:tcW w:w="1445" w:type="dxa"/>
                  <w:tcBorders>
                    <w:tl2br w:val="nil"/>
                    <w:tr2bl w:val="nil"/>
                  </w:tcBorders>
                  <w:noWrap w:val="0"/>
                  <w:vAlign w:val="center"/>
                </w:tcPr>
                <w:p w14:paraId="7DCF2B11">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新建</w:t>
                  </w:r>
                </w:p>
              </w:tc>
            </w:tr>
            <w:tr w14:paraId="60E309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59" w:type="dxa"/>
                  <w:vMerge w:val="continue"/>
                  <w:tcBorders>
                    <w:tl2br w:val="nil"/>
                    <w:tr2bl w:val="nil"/>
                  </w:tcBorders>
                  <w:noWrap w:val="0"/>
                  <w:vAlign w:val="center"/>
                </w:tcPr>
                <w:p w14:paraId="604ACCA2">
                  <w:pPr>
                    <w:tabs>
                      <w:tab w:val="left" w:pos="6096"/>
                    </w:tabs>
                    <w:jc w:val="center"/>
                    <w:rPr>
                      <w:rFonts w:hint="eastAsia" w:ascii="仿宋" w:hAnsi="仿宋" w:eastAsia="仿宋" w:cs="仿宋"/>
                      <w:color w:val="auto"/>
                      <w:sz w:val="21"/>
                      <w:szCs w:val="21"/>
                    </w:rPr>
                  </w:pPr>
                </w:p>
              </w:tc>
              <w:tc>
                <w:tcPr>
                  <w:tcW w:w="1115" w:type="dxa"/>
                  <w:tcBorders>
                    <w:tl2br w:val="nil"/>
                    <w:tr2bl w:val="nil"/>
                  </w:tcBorders>
                  <w:noWrap w:val="0"/>
                  <w:vAlign w:val="center"/>
                </w:tcPr>
                <w:p w14:paraId="4D22EC9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环境风险</w:t>
                  </w:r>
                </w:p>
              </w:tc>
              <w:tc>
                <w:tcPr>
                  <w:tcW w:w="5285" w:type="dxa"/>
                  <w:tcBorders>
                    <w:tl2br w:val="nil"/>
                    <w:tr2bl w:val="nil"/>
                  </w:tcBorders>
                  <w:noWrap w:val="0"/>
                  <w:vAlign w:val="center"/>
                </w:tcPr>
                <w:p w14:paraId="29E0AD0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制定突发环境事件风险应急预案、应急管理计划，定期开展员工安全培训，配备消防、应急材料等。</w:t>
                  </w:r>
                </w:p>
              </w:tc>
              <w:tc>
                <w:tcPr>
                  <w:tcW w:w="1445" w:type="dxa"/>
                  <w:tcBorders>
                    <w:tl2br w:val="nil"/>
                    <w:tr2bl w:val="nil"/>
                  </w:tcBorders>
                  <w:noWrap w:val="0"/>
                  <w:vAlign w:val="center"/>
                </w:tcPr>
                <w:p w14:paraId="65291A63">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新建</w:t>
                  </w:r>
                </w:p>
              </w:tc>
            </w:tr>
          </w:tbl>
          <w:p w14:paraId="73DDE1DF">
            <w:pPr>
              <w:keepNext w:val="0"/>
              <w:keepLines w:val="0"/>
              <w:pageBreakBefore w:val="0"/>
              <w:widowControl w:val="0"/>
              <w:kinsoku/>
              <w:wordWrap/>
              <w:overflowPunct/>
              <w:topLinePunct w:val="0"/>
              <w:bidi w:val="0"/>
              <w:snapToGrid/>
              <w:spacing w:line="360" w:lineRule="auto"/>
              <w:ind w:firstLine="472" w:firstLineChars="196"/>
              <w:textAlignment w:val="auto"/>
              <w:rPr>
                <w:rFonts w:hint="eastAsia" w:ascii="仿宋" w:hAnsi="仿宋" w:eastAsia="仿宋" w:cs="仿宋"/>
                <w:b/>
                <w:color w:val="auto"/>
                <w:kern w:val="28"/>
                <w:sz w:val="24"/>
                <w:lang w:val="en-US" w:eastAsia="zh-CN"/>
              </w:rPr>
            </w:pPr>
            <w:r>
              <w:rPr>
                <w:rFonts w:hint="eastAsia" w:ascii="仿宋" w:hAnsi="仿宋" w:eastAsia="仿宋" w:cs="仿宋"/>
                <w:b/>
                <w:color w:val="auto"/>
                <w:kern w:val="28"/>
                <w:sz w:val="24"/>
                <w:lang w:val="en-US" w:eastAsia="zh-CN"/>
              </w:rPr>
              <w:t>3、产品方案</w:t>
            </w:r>
          </w:p>
          <w:p w14:paraId="28AE7476">
            <w:pPr>
              <w:pStyle w:val="7"/>
              <w:keepNext/>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（1）产品规模</w:t>
            </w:r>
          </w:p>
          <w:p w14:paraId="5861CD1D">
            <w:pPr>
              <w:pStyle w:val="7"/>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rPr>
              <w:t>表</w:t>
            </w:r>
            <w:r>
              <w:rPr>
                <w:rFonts w:hint="eastAsia" w:ascii="仿宋" w:hAnsi="仿宋" w:eastAsia="仿宋" w:cs="仿宋"/>
                <w:b/>
                <w:bCs/>
                <w:color w:val="auto"/>
                <w:kern w:val="0"/>
                <w:sz w:val="21"/>
                <w:szCs w:val="21"/>
                <w:highlight w:val="none"/>
                <w:lang w:val="en-US" w:eastAsia="zh-CN"/>
              </w:rPr>
              <w:t>2-4</w:t>
            </w:r>
            <w:r>
              <w:rPr>
                <w:rFonts w:hint="eastAsia" w:ascii="仿宋" w:hAnsi="仿宋" w:eastAsia="仿宋" w:cs="仿宋"/>
                <w:b/>
                <w:bCs/>
                <w:color w:val="auto"/>
                <w:kern w:val="0"/>
                <w:sz w:val="21"/>
                <w:szCs w:val="21"/>
                <w:highlight w:val="none"/>
              </w:rPr>
              <w:t xml:space="preserve">  </w:t>
            </w:r>
            <w:r>
              <w:rPr>
                <w:rFonts w:hint="eastAsia" w:ascii="仿宋" w:hAnsi="仿宋" w:eastAsia="仿宋" w:cs="仿宋"/>
                <w:b/>
                <w:bCs/>
                <w:color w:val="auto"/>
                <w:kern w:val="0"/>
                <w:sz w:val="21"/>
                <w:szCs w:val="21"/>
                <w:highlight w:val="none"/>
                <w:lang w:eastAsia="zh-CN"/>
              </w:rPr>
              <w:t>产品方案一览表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2167"/>
              <w:gridCol w:w="1360"/>
              <w:gridCol w:w="1360"/>
              <w:gridCol w:w="1862"/>
            </w:tblGrid>
            <w:tr w14:paraId="239BB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1093" w:type="pct"/>
                  <w:tcBorders>
                    <w:tl2br w:val="nil"/>
                    <w:tr2bl w:val="nil"/>
                  </w:tcBorders>
                  <w:noWrap w:val="0"/>
                  <w:tcMar>
                    <w:top w:w="28" w:type="dxa"/>
                    <w:left w:w="28" w:type="dxa"/>
                    <w:bottom w:w="28" w:type="dxa"/>
                    <w:right w:w="28" w:type="dxa"/>
                  </w:tcMar>
                  <w:vAlign w:val="center"/>
                </w:tcPr>
                <w:p w14:paraId="79482B09">
                  <w:pPr>
                    <w:keepNext w:val="0"/>
                    <w:keepLines w:val="0"/>
                    <w:pageBreakBefore w:val="0"/>
                    <w:widowControl w:val="0"/>
                    <w:kinsoku/>
                    <w:wordWrap/>
                    <w:overflowPunct/>
                    <w:topLinePunct w:val="0"/>
                    <w:autoSpaceDE/>
                    <w:autoSpaceDN/>
                    <w:bidi w:val="0"/>
                    <w:spacing w:beforeAutospacing="0" w:afterAutospacing="0"/>
                    <w:jc w:val="center"/>
                    <w:textAlignment w:val="auto"/>
                    <w:rPr>
                      <w:rFonts w:hint="eastAsia" w:ascii="仿宋" w:hAnsi="仿宋" w:eastAsia="仿宋" w:cs="仿宋"/>
                      <w:b/>
                      <w:bCs/>
                      <w:color w:val="auto"/>
                      <w:sz w:val="21"/>
                      <w:szCs w:val="21"/>
                      <w:lang w:eastAsia="zh-CN"/>
                    </w:rPr>
                  </w:pPr>
                  <w:r>
                    <w:rPr>
                      <w:rFonts w:hint="eastAsia" w:ascii="仿宋" w:hAnsi="仿宋" w:eastAsia="仿宋" w:cs="仿宋"/>
                      <w:b/>
                      <w:bCs/>
                      <w:sz w:val="21"/>
                      <w:szCs w:val="21"/>
                    </w:rPr>
                    <w:t>产品名称</w:t>
                  </w:r>
                </w:p>
              </w:tc>
              <w:tc>
                <w:tcPr>
                  <w:tcW w:w="1254" w:type="pct"/>
                  <w:tcBorders>
                    <w:tl2br w:val="nil"/>
                    <w:tr2bl w:val="nil"/>
                  </w:tcBorders>
                  <w:noWrap w:val="0"/>
                  <w:tcMar>
                    <w:top w:w="28" w:type="dxa"/>
                    <w:left w:w="28" w:type="dxa"/>
                    <w:bottom w:w="28" w:type="dxa"/>
                    <w:right w:w="28" w:type="dxa"/>
                  </w:tcMar>
                  <w:vAlign w:val="center"/>
                </w:tcPr>
                <w:p w14:paraId="698DA6CF">
                  <w:pPr>
                    <w:keepNext w:val="0"/>
                    <w:keepLines w:val="0"/>
                    <w:pageBreakBefore w:val="0"/>
                    <w:widowControl w:val="0"/>
                    <w:kinsoku/>
                    <w:wordWrap/>
                    <w:overflowPunct/>
                    <w:topLinePunct w:val="0"/>
                    <w:autoSpaceDE/>
                    <w:autoSpaceDN/>
                    <w:bidi w:val="0"/>
                    <w:spacing w:beforeAutospacing="0" w:afterAutospacing="0"/>
                    <w:jc w:val="center"/>
                    <w:textAlignment w:val="auto"/>
                    <w:rPr>
                      <w:rFonts w:hint="eastAsia" w:ascii="仿宋" w:hAnsi="仿宋" w:eastAsia="仿宋" w:cs="仿宋"/>
                      <w:b/>
                      <w:bCs/>
                      <w:color w:val="auto"/>
                      <w:sz w:val="21"/>
                      <w:szCs w:val="21"/>
                      <w:lang w:eastAsia="zh-CN"/>
                    </w:rPr>
                  </w:pPr>
                  <w:r>
                    <w:rPr>
                      <w:rFonts w:hint="eastAsia" w:ascii="仿宋" w:hAnsi="仿宋" w:eastAsia="仿宋" w:cs="仿宋"/>
                      <w:b/>
                      <w:bCs/>
                      <w:sz w:val="21"/>
                      <w:szCs w:val="21"/>
                    </w:rPr>
                    <w:t>设计生产能力</w:t>
                  </w:r>
                </w:p>
              </w:tc>
              <w:tc>
                <w:tcPr>
                  <w:tcW w:w="787" w:type="pct"/>
                  <w:tcBorders>
                    <w:tl2br w:val="nil"/>
                    <w:tr2bl w:val="nil"/>
                  </w:tcBorders>
                  <w:noWrap w:val="0"/>
                  <w:tcMar>
                    <w:top w:w="28" w:type="dxa"/>
                    <w:left w:w="28" w:type="dxa"/>
                    <w:bottom w:w="28" w:type="dxa"/>
                    <w:right w:w="28" w:type="dxa"/>
                  </w:tcMar>
                  <w:vAlign w:val="center"/>
                </w:tcPr>
                <w:p w14:paraId="2C6AB7DA">
                  <w:pPr>
                    <w:keepNext w:val="0"/>
                    <w:keepLines w:val="0"/>
                    <w:pageBreakBefore w:val="0"/>
                    <w:widowControl w:val="0"/>
                    <w:kinsoku/>
                    <w:wordWrap/>
                    <w:overflowPunct/>
                    <w:topLinePunct w:val="0"/>
                    <w:autoSpaceDE/>
                    <w:autoSpaceDN/>
                    <w:bidi w:val="0"/>
                    <w:spacing w:beforeAutospacing="0" w:afterAutospacing="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含水率</w:t>
                  </w:r>
                </w:p>
              </w:tc>
              <w:tc>
                <w:tcPr>
                  <w:tcW w:w="787" w:type="pct"/>
                  <w:tcBorders>
                    <w:tl2br w:val="nil"/>
                    <w:tr2bl w:val="nil"/>
                  </w:tcBorders>
                  <w:noWrap w:val="0"/>
                  <w:tcMar>
                    <w:top w:w="28" w:type="dxa"/>
                    <w:left w:w="28" w:type="dxa"/>
                    <w:bottom w:w="28" w:type="dxa"/>
                    <w:right w:w="28" w:type="dxa"/>
                  </w:tcMar>
                  <w:vAlign w:val="center"/>
                </w:tcPr>
                <w:p w14:paraId="144D6169">
                  <w:pPr>
                    <w:keepNext w:val="0"/>
                    <w:keepLines w:val="0"/>
                    <w:pageBreakBefore w:val="0"/>
                    <w:widowControl w:val="0"/>
                    <w:kinsoku/>
                    <w:wordWrap/>
                    <w:overflowPunct/>
                    <w:topLinePunct w:val="0"/>
                    <w:autoSpaceDE/>
                    <w:autoSpaceDN/>
                    <w:bidi w:val="0"/>
                    <w:spacing w:beforeAutospacing="0" w:afterAutospacing="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产品规格</w:t>
                  </w:r>
                </w:p>
              </w:tc>
              <w:tc>
                <w:tcPr>
                  <w:tcW w:w="1077" w:type="pct"/>
                  <w:tcBorders>
                    <w:tl2br w:val="nil"/>
                    <w:tr2bl w:val="nil"/>
                  </w:tcBorders>
                  <w:noWrap w:val="0"/>
                  <w:tcMar>
                    <w:top w:w="28" w:type="dxa"/>
                    <w:left w:w="28" w:type="dxa"/>
                    <w:bottom w:w="28" w:type="dxa"/>
                    <w:right w:w="28" w:type="dxa"/>
                  </w:tcMar>
                  <w:vAlign w:val="center"/>
                </w:tcPr>
                <w:p w14:paraId="046BFE98">
                  <w:pPr>
                    <w:keepNext w:val="0"/>
                    <w:keepLines w:val="0"/>
                    <w:pageBreakBefore w:val="0"/>
                    <w:widowControl w:val="0"/>
                    <w:kinsoku/>
                    <w:wordWrap/>
                    <w:overflowPunct/>
                    <w:topLinePunct w:val="0"/>
                    <w:autoSpaceDE/>
                    <w:autoSpaceDN/>
                    <w:bidi w:val="0"/>
                    <w:spacing w:beforeAutospacing="0" w:afterAutospacing="0"/>
                    <w:jc w:val="center"/>
                    <w:textAlignment w:val="auto"/>
                    <w:rPr>
                      <w:rFonts w:hint="eastAsia" w:ascii="仿宋" w:hAnsi="仿宋" w:eastAsia="仿宋" w:cs="仿宋"/>
                      <w:b/>
                      <w:bCs/>
                      <w:color w:val="auto"/>
                      <w:sz w:val="21"/>
                      <w:szCs w:val="21"/>
                    </w:rPr>
                  </w:pPr>
                  <w:r>
                    <w:rPr>
                      <w:rFonts w:hint="eastAsia" w:ascii="仿宋" w:hAnsi="仿宋" w:eastAsia="仿宋" w:cs="仿宋"/>
                      <w:b/>
                      <w:bCs/>
                      <w:sz w:val="21"/>
                      <w:szCs w:val="21"/>
                    </w:rPr>
                    <w:t>年运行时数（h）</w:t>
                  </w:r>
                </w:p>
              </w:tc>
            </w:tr>
            <w:tr w14:paraId="51136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5" w:hRule="atLeast"/>
                <w:jc w:val="center"/>
              </w:trPr>
              <w:tc>
                <w:tcPr>
                  <w:tcW w:w="1093" w:type="pct"/>
                  <w:tcBorders>
                    <w:tl2br w:val="nil"/>
                    <w:tr2bl w:val="nil"/>
                  </w:tcBorders>
                  <w:noWrap w:val="0"/>
                  <w:tcMar>
                    <w:top w:w="28" w:type="dxa"/>
                    <w:left w:w="28" w:type="dxa"/>
                    <w:bottom w:w="28" w:type="dxa"/>
                    <w:right w:w="28" w:type="dxa"/>
                  </w:tcMar>
                  <w:vAlign w:val="center"/>
                </w:tcPr>
                <w:p w14:paraId="21E28A08">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营养土</w:t>
                  </w:r>
                </w:p>
              </w:tc>
              <w:tc>
                <w:tcPr>
                  <w:tcW w:w="1254" w:type="pct"/>
                  <w:tcBorders>
                    <w:tl2br w:val="nil"/>
                    <w:tr2bl w:val="nil"/>
                  </w:tcBorders>
                  <w:noWrap w:val="0"/>
                  <w:tcMar>
                    <w:top w:w="28" w:type="dxa"/>
                    <w:left w:w="28" w:type="dxa"/>
                    <w:bottom w:w="28" w:type="dxa"/>
                    <w:right w:w="28" w:type="dxa"/>
                  </w:tcMar>
                  <w:vAlign w:val="center"/>
                </w:tcPr>
                <w:p w14:paraId="382E06DC">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7万吨/年</w:t>
                  </w:r>
                </w:p>
              </w:tc>
              <w:tc>
                <w:tcPr>
                  <w:tcW w:w="787" w:type="pct"/>
                  <w:tcBorders>
                    <w:tl2br w:val="nil"/>
                    <w:tr2bl w:val="nil"/>
                  </w:tcBorders>
                  <w:noWrap w:val="0"/>
                  <w:tcMar>
                    <w:top w:w="28" w:type="dxa"/>
                    <w:left w:w="28" w:type="dxa"/>
                    <w:bottom w:w="28" w:type="dxa"/>
                    <w:right w:w="28" w:type="dxa"/>
                  </w:tcMar>
                  <w:vAlign w:val="center"/>
                </w:tcPr>
                <w:p w14:paraId="33A7AEB1">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35%</w:t>
                  </w:r>
                </w:p>
              </w:tc>
              <w:tc>
                <w:tcPr>
                  <w:tcW w:w="787" w:type="pct"/>
                  <w:tcBorders>
                    <w:tl2br w:val="nil"/>
                    <w:tr2bl w:val="nil"/>
                  </w:tcBorders>
                  <w:shd w:val="clear" w:color="auto" w:fill="auto"/>
                  <w:noWrap w:val="0"/>
                  <w:tcMar>
                    <w:top w:w="28" w:type="dxa"/>
                    <w:left w:w="28" w:type="dxa"/>
                    <w:bottom w:w="28" w:type="dxa"/>
                    <w:right w:w="28" w:type="dxa"/>
                  </w:tcMar>
                  <w:vAlign w:val="center"/>
                </w:tcPr>
                <w:p w14:paraId="3CCA4161">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25kg/袋</w:t>
                  </w:r>
                </w:p>
              </w:tc>
              <w:tc>
                <w:tcPr>
                  <w:tcW w:w="1077" w:type="pct"/>
                  <w:tcBorders>
                    <w:tl2br w:val="nil"/>
                    <w:tr2bl w:val="nil"/>
                  </w:tcBorders>
                  <w:noWrap w:val="0"/>
                  <w:tcMar>
                    <w:top w:w="28" w:type="dxa"/>
                    <w:left w:w="28" w:type="dxa"/>
                    <w:bottom w:w="28" w:type="dxa"/>
                    <w:right w:w="28" w:type="dxa"/>
                  </w:tcMar>
                  <w:vAlign w:val="center"/>
                </w:tcPr>
                <w:p w14:paraId="136BDCF4">
                  <w:pPr>
                    <w:keepNext w:val="0"/>
                    <w:keepLines w:val="0"/>
                    <w:pageBreakBefore w:val="0"/>
                    <w:widowControl w:val="0"/>
                    <w:kinsoku/>
                    <w:wordWrap/>
                    <w:overflowPunct/>
                    <w:topLinePunct w:val="0"/>
                    <w:autoSpaceDE/>
                    <w:autoSpaceDN/>
                    <w:bidi w:val="0"/>
                    <w:spacing w:beforeAutospacing="0" w:afterAutospacing="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7920</w:t>
                  </w:r>
                </w:p>
              </w:tc>
            </w:tr>
            <w:tr w14:paraId="1E473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5" w:hRule="atLeast"/>
                <w:jc w:val="center"/>
              </w:trPr>
              <w:tc>
                <w:tcPr>
                  <w:tcW w:w="1093" w:type="pct"/>
                  <w:tcBorders>
                    <w:tl2br w:val="nil"/>
                    <w:tr2bl w:val="nil"/>
                  </w:tcBorders>
                  <w:noWrap w:val="0"/>
                  <w:tcMar>
                    <w:top w:w="28" w:type="dxa"/>
                    <w:left w:w="28" w:type="dxa"/>
                    <w:bottom w:w="28" w:type="dxa"/>
                    <w:right w:w="28" w:type="dxa"/>
                  </w:tcMar>
                  <w:vAlign w:val="center"/>
                </w:tcPr>
                <w:p w14:paraId="5C78A7C4">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土壤改良剂</w:t>
                  </w:r>
                </w:p>
              </w:tc>
              <w:tc>
                <w:tcPr>
                  <w:tcW w:w="1254" w:type="pct"/>
                  <w:tcBorders>
                    <w:tl2br w:val="nil"/>
                    <w:tr2bl w:val="nil"/>
                  </w:tcBorders>
                  <w:noWrap w:val="0"/>
                  <w:tcMar>
                    <w:top w:w="28" w:type="dxa"/>
                    <w:left w:w="28" w:type="dxa"/>
                    <w:bottom w:w="28" w:type="dxa"/>
                    <w:right w:w="28" w:type="dxa"/>
                  </w:tcMar>
                  <w:vAlign w:val="center"/>
                </w:tcPr>
                <w:p w14:paraId="6F748801">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3万吨/年</w:t>
                  </w:r>
                </w:p>
              </w:tc>
              <w:tc>
                <w:tcPr>
                  <w:tcW w:w="787" w:type="pct"/>
                  <w:tcBorders>
                    <w:tl2br w:val="nil"/>
                    <w:tr2bl w:val="nil"/>
                  </w:tcBorders>
                  <w:noWrap w:val="0"/>
                  <w:tcMar>
                    <w:top w:w="28" w:type="dxa"/>
                    <w:left w:w="28" w:type="dxa"/>
                    <w:bottom w:w="28" w:type="dxa"/>
                    <w:right w:w="28" w:type="dxa"/>
                  </w:tcMar>
                  <w:vAlign w:val="center"/>
                </w:tcPr>
                <w:p w14:paraId="58770BBF">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30%</w:t>
                  </w:r>
                </w:p>
              </w:tc>
              <w:tc>
                <w:tcPr>
                  <w:tcW w:w="787" w:type="pct"/>
                  <w:tcBorders>
                    <w:tl2br w:val="nil"/>
                    <w:tr2bl w:val="nil"/>
                  </w:tcBorders>
                  <w:shd w:val="clear" w:color="auto" w:fill="auto"/>
                  <w:noWrap w:val="0"/>
                  <w:tcMar>
                    <w:top w:w="28" w:type="dxa"/>
                    <w:left w:w="28" w:type="dxa"/>
                    <w:bottom w:w="28" w:type="dxa"/>
                    <w:right w:w="28" w:type="dxa"/>
                  </w:tcMar>
                  <w:vAlign w:val="center"/>
                </w:tcPr>
                <w:p w14:paraId="6FBAE9AB">
                  <w:pPr>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25kg/袋</w:t>
                  </w:r>
                </w:p>
              </w:tc>
              <w:tc>
                <w:tcPr>
                  <w:tcW w:w="1077" w:type="pct"/>
                  <w:tcBorders>
                    <w:tl2br w:val="nil"/>
                    <w:tr2bl w:val="nil"/>
                  </w:tcBorders>
                  <w:noWrap w:val="0"/>
                  <w:tcMar>
                    <w:top w:w="28" w:type="dxa"/>
                    <w:left w:w="28" w:type="dxa"/>
                    <w:bottom w:w="28" w:type="dxa"/>
                    <w:right w:w="28" w:type="dxa"/>
                  </w:tcMar>
                  <w:vAlign w:val="center"/>
                </w:tcPr>
                <w:p w14:paraId="66F4B9A2">
                  <w:pPr>
                    <w:keepNext w:val="0"/>
                    <w:keepLines w:val="0"/>
                    <w:pageBreakBefore w:val="0"/>
                    <w:widowControl w:val="0"/>
                    <w:kinsoku/>
                    <w:wordWrap/>
                    <w:overflowPunct/>
                    <w:topLinePunct w:val="0"/>
                    <w:autoSpaceDE/>
                    <w:autoSpaceDN/>
                    <w:bidi w:val="0"/>
                    <w:spacing w:beforeAutospacing="0" w:afterAutospacing="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7920</w:t>
                  </w:r>
                </w:p>
              </w:tc>
            </w:tr>
          </w:tbl>
          <w:p w14:paraId="49F0019A">
            <w:pPr>
              <w:pStyle w:val="7"/>
              <w:keepNext/>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（2）产品介绍</w:t>
            </w:r>
          </w:p>
          <w:p w14:paraId="597A42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营养土是园林、路桥边坡植被护坡专用营养土或基材，一般情况由有机肥、稳定剂、控释肥料、植物生长调节剂等组成。本项目所产营养土由城市生活污水处理厂污泥、秸秆等废弃物制备而成，外观为纤维状、颗粒状、胶体状、海绵状或絮状固体，含水率30~40%。营养土参照《城镇污水处理厂污泥泥质》（GB/T24188-2009）、《城镇污水处理厂污泥处置园林绿化用泥质》（GB/T23486-1009）和《污泥制备的园林绿化营养土》（T/CAXE046-2021）的相关要求中相关限值后才能用于生产，土壤改良剂与营养土成分相似，其产品质量均参考营养土相关指标执行，具体见下表：</w:t>
            </w:r>
          </w:p>
          <w:p w14:paraId="702E3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表2-2 营养土相关指标及限值</w:t>
            </w:r>
          </w:p>
          <w:tbl>
            <w:tblPr>
              <w:tblStyle w:val="9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64"/>
              <w:gridCol w:w="104"/>
              <w:gridCol w:w="2362"/>
              <w:gridCol w:w="575"/>
              <w:gridCol w:w="1701"/>
              <w:gridCol w:w="581"/>
              <w:gridCol w:w="878"/>
              <w:gridCol w:w="1676"/>
            </w:tblGrid>
            <w:tr w14:paraId="29A706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8"/>
                  <w:tcBorders>
                    <w:tl2br w:val="nil"/>
                    <w:tr2bl w:val="nil"/>
                  </w:tcBorders>
                  <w:vAlign w:val="center"/>
                </w:tcPr>
                <w:p w14:paraId="0DB03C18">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b/>
                      <w:bCs/>
                      <w:spacing w:val="7"/>
                      <w:sz w:val="20"/>
                      <w:szCs w:val="20"/>
                    </w:rPr>
                    <w:t>养分和生物学指标及限值</w:t>
                  </w:r>
                </w:p>
              </w:tc>
            </w:tr>
            <w:tr w14:paraId="41C01E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2" w:type="pct"/>
                  <w:gridSpan w:val="2"/>
                  <w:tcBorders>
                    <w:tl2br w:val="nil"/>
                    <w:tr2bl w:val="nil"/>
                  </w:tcBorders>
                  <w:vAlign w:val="center"/>
                </w:tcPr>
                <w:p w14:paraId="2E967E2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5"/>
                      <w:sz w:val="20"/>
                      <w:szCs w:val="20"/>
                    </w:rPr>
                    <w:t>序号</w:t>
                  </w:r>
                </w:p>
              </w:tc>
              <w:tc>
                <w:tcPr>
                  <w:tcW w:w="3528" w:type="pct"/>
                  <w:gridSpan w:val="5"/>
                  <w:tcBorders>
                    <w:tl2br w:val="nil"/>
                    <w:tr2bl w:val="nil"/>
                  </w:tcBorders>
                  <w:vAlign w:val="center"/>
                </w:tcPr>
                <w:p w14:paraId="14EE4ECA">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指标</w:t>
                  </w:r>
                </w:p>
              </w:tc>
              <w:tc>
                <w:tcPr>
                  <w:tcW w:w="968" w:type="pct"/>
                  <w:tcBorders>
                    <w:tl2br w:val="nil"/>
                    <w:tr2bl w:val="nil"/>
                  </w:tcBorders>
                  <w:vAlign w:val="center"/>
                </w:tcPr>
                <w:p w14:paraId="5E11180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限值</w:t>
                  </w:r>
                </w:p>
              </w:tc>
            </w:tr>
            <w:tr w14:paraId="1F0C44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2" w:type="pct"/>
                  <w:gridSpan w:val="2"/>
                  <w:tcBorders>
                    <w:tl2br w:val="nil"/>
                    <w:tr2bl w:val="nil"/>
                  </w:tcBorders>
                  <w:vAlign w:val="center"/>
                </w:tcPr>
                <w:p w14:paraId="0F82E5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1</w:t>
                  </w:r>
                </w:p>
              </w:tc>
              <w:tc>
                <w:tcPr>
                  <w:tcW w:w="3528" w:type="pct"/>
                  <w:gridSpan w:val="5"/>
                  <w:tcBorders>
                    <w:tl2br w:val="nil"/>
                    <w:tr2bl w:val="nil"/>
                  </w:tcBorders>
                  <w:vAlign w:val="center"/>
                </w:tcPr>
                <w:p w14:paraId="50F9C91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总养分[总氮（以</w:t>
                  </w:r>
                  <w:r>
                    <w:rPr>
                      <w:rFonts w:hint="eastAsia" w:ascii="仿宋" w:hAnsi="仿宋" w:eastAsia="仿宋" w:cs="仿宋"/>
                      <w:spacing w:val="-50"/>
                      <w:sz w:val="20"/>
                      <w:szCs w:val="20"/>
                    </w:rPr>
                    <w:t xml:space="preserve"> </w:t>
                  </w:r>
                  <w:r>
                    <w:rPr>
                      <w:rFonts w:hint="eastAsia" w:ascii="仿宋" w:hAnsi="仿宋" w:eastAsia="仿宋" w:cs="仿宋"/>
                      <w:spacing w:val="4"/>
                      <w:sz w:val="20"/>
                      <w:szCs w:val="20"/>
                    </w:rPr>
                    <w:t>N 计）+总磷（以</w:t>
                  </w:r>
                  <w:r>
                    <w:rPr>
                      <w:rFonts w:hint="eastAsia" w:ascii="仿宋" w:hAnsi="仿宋" w:eastAsia="仿宋" w:cs="仿宋"/>
                      <w:spacing w:val="-44"/>
                      <w:sz w:val="20"/>
                      <w:szCs w:val="20"/>
                    </w:rPr>
                    <w:t xml:space="preserve"> </w:t>
                  </w:r>
                  <w:r>
                    <w:rPr>
                      <w:rFonts w:hint="eastAsia" w:ascii="仿宋" w:hAnsi="仿宋" w:eastAsia="仿宋" w:cs="仿宋"/>
                      <w:spacing w:val="4"/>
                      <w:sz w:val="20"/>
                      <w:szCs w:val="20"/>
                    </w:rPr>
                    <w:t>P</w:t>
                  </w:r>
                  <w:r>
                    <w:rPr>
                      <w:rFonts w:hint="eastAsia" w:ascii="仿宋" w:hAnsi="仿宋" w:eastAsia="仿宋" w:cs="仿宋"/>
                      <w:spacing w:val="4"/>
                      <w:position w:val="-1"/>
                      <w:sz w:val="13"/>
                      <w:szCs w:val="13"/>
                    </w:rPr>
                    <w:t>2</w:t>
                  </w:r>
                  <w:r>
                    <w:rPr>
                      <w:rFonts w:hint="eastAsia" w:ascii="仿宋" w:hAnsi="仿宋" w:eastAsia="仿宋" w:cs="仿宋"/>
                      <w:spacing w:val="4"/>
                      <w:sz w:val="20"/>
                      <w:szCs w:val="20"/>
                    </w:rPr>
                    <w:t>O</w:t>
                  </w:r>
                  <w:r>
                    <w:rPr>
                      <w:rFonts w:hint="eastAsia" w:ascii="仿宋" w:hAnsi="仿宋" w:eastAsia="仿宋" w:cs="仿宋"/>
                      <w:spacing w:val="4"/>
                      <w:position w:val="-1"/>
                      <w:sz w:val="13"/>
                      <w:szCs w:val="13"/>
                    </w:rPr>
                    <w:t xml:space="preserve">5 </w:t>
                  </w:r>
                  <w:r>
                    <w:rPr>
                      <w:rFonts w:hint="eastAsia" w:ascii="仿宋" w:hAnsi="仿宋" w:eastAsia="仿宋" w:cs="仿宋"/>
                      <w:spacing w:val="4"/>
                      <w:sz w:val="20"/>
                      <w:szCs w:val="20"/>
                    </w:rPr>
                    <w:t>）+总钾（以</w:t>
                  </w:r>
                  <w:r>
                    <w:rPr>
                      <w:rFonts w:hint="eastAsia" w:ascii="仿宋" w:hAnsi="仿宋" w:eastAsia="仿宋" w:cs="仿宋"/>
                      <w:spacing w:val="-44"/>
                      <w:sz w:val="20"/>
                      <w:szCs w:val="20"/>
                    </w:rPr>
                    <w:t xml:space="preserve"> </w:t>
                  </w:r>
                  <w:r>
                    <w:rPr>
                      <w:rFonts w:hint="eastAsia" w:ascii="仿宋" w:hAnsi="仿宋" w:eastAsia="仿宋" w:cs="仿宋"/>
                      <w:spacing w:val="4"/>
                      <w:sz w:val="20"/>
                      <w:szCs w:val="20"/>
                    </w:rPr>
                    <w:t>K</w:t>
                  </w:r>
                  <w:r>
                    <w:rPr>
                      <w:rFonts w:hint="eastAsia" w:ascii="仿宋" w:hAnsi="仿宋" w:eastAsia="仿宋" w:cs="仿宋"/>
                      <w:spacing w:val="4"/>
                      <w:position w:val="-1"/>
                      <w:sz w:val="13"/>
                      <w:szCs w:val="13"/>
                    </w:rPr>
                    <w:t>2</w:t>
                  </w:r>
                  <w:r>
                    <w:rPr>
                      <w:rFonts w:hint="eastAsia" w:ascii="仿宋" w:hAnsi="仿宋" w:eastAsia="仿宋" w:cs="仿宋"/>
                      <w:spacing w:val="4"/>
                      <w:sz w:val="20"/>
                      <w:szCs w:val="20"/>
                    </w:rPr>
                    <w:t>O</w:t>
                  </w:r>
                  <w:r>
                    <w:rPr>
                      <w:rFonts w:hint="eastAsia" w:ascii="仿宋" w:hAnsi="仿宋" w:eastAsia="仿宋" w:cs="仿宋"/>
                      <w:sz w:val="20"/>
                      <w:szCs w:val="20"/>
                    </w:rPr>
                    <w:t xml:space="preserve"> </w:t>
                  </w:r>
                  <w:r>
                    <w:rPr>
                      <w:rFonts w:hint="eastAsia" w:ascii="仿宋" w:hAnsi="仿宋" w:eastAsia="仿宋" w:cs="仿宋"/>
                      <w:spacing w:val="5"/>
                      <w:sz w:val="20"/>
                      <w:szCs w:val="20"/>
                    </w:rPr>
                    <w:t>计）]%</w:t>
                  </w:r>
                </w:p>
              </w:tc>
              <w:tc>
                <w:tcPr>
                  <w:tcW w:w="968" w:type="pct"/>
                  <w:tcBorders>
                    <w:tl2br w:val="nil"/>
                    <w:tr2bl w:val="nil"/>
                  </w:tcBorders>
                  <w:vAlign w:val="center"/>
                </w:tcPr>
                <w:p w14:paraId="75AA6D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≥2.00</w:t>
                  </w:r>
                </w:p>
              </w:tc>
            </w:tr>
            <w:tr w14:paraId="5F8269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2" w:type="pct"/>
                  <w:gridSpan w:val="2"/>
                  <w:tcBorders>
                    <w:tl2br w:val="nil"/>
                    <w:tr2bl w:val="nil"/>
                  </w:tcBorders>
                  <w:vAlign w:val="center"/>
                </w:tcPr>
                <w:p w14:paraId="3AE3CC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2</w:t>
                  </w:r>
                </w:p>
              </w:tc>
              <w:tc>
                <w:tcPr>
                  <w:tcW w:w="3528" w:type="pct"/>
                  <w:gridSpan w:val="5"/>
                  <w:tcBorders>
                    <w:tl2br w:val="nil"/>
                    <w:tr2bl w:val="nil"/>
                  </w:tcBorders>
                  <w:vAlign w:val="center"/>
                </w:tcPr>
                <w:p w14:paraId="72304CB0">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有机质含量%</w:t>
                  </w:r>
                </w:p>
              </w:tc>
              <w:tc>
                <w:tcPr>
                  <w:tcW w:w="968" w:type="pct"/>
                  <w:tcBorders>
                    <w:tl2br w:val="nil"/>
                    <w:tr2bl w:val="nil"/>
                  </w:tcBorders>
                  <w:vAlign w:val="center"/>
                </w:tcPr>
                <w:p w14:paraId="7C97CA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≥10.00</w:t>
                  </w:r>
                </w:p>
              </w:tc>
            </w:tr>
            <w:tr w14:paraId="77135F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2" w:type="pct"/>
                  <w:gridSpan w:val="2"/>
                  <w:tcBorders>
                    <w:tl2br w:val="nil"/>
                    <w:tr2bl w:val="nil"/>
                  </w:tcBorders>
                  <w:vAlign w:val="center"/>
                </w:tcPr>
                <w:p w14:paraId="22F3F2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3</w:t>
                  </w:r>
                </w:p>
              </w:tc>
              <w:tc>
                <w:tcPr>
                  <w:tcW w:w="3528" w:type="pct"/>
                  <w:gridSpan w:val="5"/>
                  <w:tcBorders>
                    <w:tl2br w:val="nil"/>
                    <w:tr2bl w:val="nil"/>
                  </w:tcBorders>
                  <w:vAlign w:val="center"/>
                </w:tcPr>
                <w:p w14:paraId="37FDAE4A">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粪大肠菌群菌值</w:t>
                  </w:r>
                </w:p>
              </w:tc>
              <w:tc>
                <w:tcPr>
                  <w:tcW w:w="968" w:type="pct"/>
                  <w:tcBorders>
                    <w:tl2br w:val="nil"/>
                    <w:tr2bl w:val="nil"/>
                  </w:tcBorders>
                  <w:vAlign w:val="center"/>
                </w:tcPr>
                <w:p w14:paraId="230D21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≥0.01</w:t>
                  </w:r>
                </w:p>
              </w:tc>
            </w:tr>
            <w:tr w14:paraId="79B30C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2" w:type="pct"/>
                  <w:gridSpan w:val="2"/>
                  <w:tcBorders>
                    <w:tl2br w:val="nil"/>
                    <w:tr2bl w:val="nil"/>
                  </w:tcBorders>
                  <w:vAlign w:val="center"/>
                </w:tcPr>
                <w:p w14:paraId="3EAB9D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1"/>
                      <w:sz w:val="20"/>
                      <w:szCs w:val="20"/>
                    </w:rPr>
                    <w:t>4</w:t>
                  </w:r>
                </w:p>
              </w:tc>
              <w:tc>
                <w:tcPr>
                  <w:tcW w:w="3528" w:type="pct"/>
                  <w:gridSpan w:val="5"/>
                  <w:tcBorders>
                    <w:tl2br w:val="nil"/>
                    <w:tr2bl w:val="nil"/>
                  </w:tcBorders>
                  <w:vAlign w:val="center"/>
                </w:tcPr>
                <w:p w14:paraId="0D0AEB58">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蠕虫卵死亡率%</w:t>
                  </w:r>
                </w:p>
              </w:tc>
              <w:tc>
                <w:tcPr>
                  <w:tcW w:w="968" w:type="pct"/>
                  <w:tcBorders>
                    <w:tl2br w:val="nil"/>
                    <w:tr2bl w:val="nil"/>
                  </w:tcBorders>
                  <w:vAlign w:val="center"/>
                </w:tcPr>
                <w:p w14:paraId="296FED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&gt;95.0</w:t>
                  </w:r>
                </w:p>
              </w:tc>
            </w:tr>
            <w:tr w14:paraId="67748D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8"/>
                  <w:tcBorders>
                    <w:tl2br w:val="nil"/>
                    <w:tr2bl w:val="nil"/>
                  </w:tcBorders>
                  <w:vAlign w:val="center"/>
                </w:tcPr>
                <w:p w14:paraId="336CB9EB">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b/>
                      <w:bCs/>
                      <w:spacing w:val="7"/>
                      <w:sz w:val="20"/>
                      <w:szCs w:val="20"/>
                    </w:rPr>
                    <w:t>其他理化指标及限值</w:t>
                  </w:r>
                </w:p>
              </w:tc>
            </w:tr>
            <w:tr w14:paraId="5E0CA8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3F530001">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5"/>
                      <w:sz w:val="20"/>
                      <w:szCs w:val="20"/>
                    </w:rPr>
                    <w:t>序号</w:t>
                  </w:r>
                </w:p>
              </w:tc>
              <w:tc>
                <w:tcPr>
                  <w:tcW w:w="1760" w:type="pct"/>
                  <w:gridSpan w:val="3"/>
                  <w:tcBorders>
                    <w:tl2br w:val="nil"/>
                    <w:tr2bl w:val="nil"/>
                  </w:tcBorders>
                  <w:vAlign w:val="center"/>
                </w:tcPr>
                <w:p w14:paraId="60010D8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指标</w:t>
                  </w:r>
                </w:p>
              </w:tc>
              <w:tc>
                <w:tcPr>
                  <w:tcW w:w="2797" w:type="pct"/>
                  <w:gridSpan w:val="4"/>
                  <w:tcBorders>
                    <w:tl2br w:val="nil"/>
                    <w:tr2bl w:val="nil"/>
                  </w:tcBorders>
                  <w:vAlign w:val="center"/>
                </w:tcPr>
                <w:p w14:paraId="19DAC3DF">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限值</w:t>
                  </w:r>
                </w:p>
              </w:tc>
            </w:tr>
            <w:tr w14:paraId="7CB908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vMerge w:val="restart"/>
                  <w:tcBorders>
                    <w:tl2br w:val="nil"/>
                    <w:tr2bl w:val="nil"/>
                  </w:tcBorders>
                  <w:vAlign w:val="center"/>
                </w:tcPr>
                <w:p w14:paraId="481CF0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14:paraId="2D9084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1</w:t>
                  </w:r>
                </w:p>
              </w:tc>
              <w:tc>
                <w:tcPr>
                  <w:tcW w:w="1760" w:type="pct"/>
                  <w:gridSpan w:val="3"/>
                  <w:vMerge w:val="restart"/>
                  <w:tcBorders>
                    <w:tl2br w:val="nil"/>
                    <w:tr2bl w:val="nil"/>
                  </w:tcBorders>
                  <w:vAlign w:val="center"/>
                </w:tcPr>
                <w:p w14:paraId="652AB3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p w14:paraId="0AA195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PH</w:t>
                  </w:r>
                </w:p>
              </w:tc>
              <w:tc>
                <w:tcPr>
                  <w:tcW w:w="1320" w:type="pct"/>
                  <w:gridSpan w:val="2"/>
                  <w:tcBorders>
                    <w:tl2br w:val="nil"/>
                    <w:tr2bl w:val="nil"/>
                  </w:tcBorders>
                  <w:vAlign w:val="center"/>
                </w:tcPr>
                <w:p w14:paraId="44221CF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酸性土壤（</w:t>
                  </w:r>
                  <w:r>
                    <w:rPr>
                      <w:rFonts w:hint="eastAsia" w:ascii="仿宋" w:hAnsi="仿宋" w:eastAsia="仿宋" w:cs="仿宋"/>
                      <w:sz w:val="20"/>
                      <w:szCs w:val="20"/>
                    </w:rPr>
                    <w:t>PH</w:t>
                  </w:r>
                  <w:r>
                    <w:rPr>
                      <w:rFonts w:hint="eastAsia" w:ascii="仿宋" w:hAnsi="仿宋" w:eastAsia="仿宋" w:cs="仿宋"/>
                      <w:spacing w:val="7"/>
                      <w:sz w:val="20"/>
                      <w:szCs w:val="20"/>
                    </w:rPr>
                    <w:t>&lt;6.5）</w:t>
                  </w:r>
                </w:p>
              </w:tc>
              <w:tc>
                <w:tcPr>
                  <w:tcW w:w="1477" w:type="pct"/>
                  <w:gridSpan w:val="2"/>
                  <w:tcBorders>
                    <w:tl2br w:val="nil"/>
                    <w:tr2bl w:val="nil"/>
                  </w:tcBorders>
                  <w:vAlign w:val="center"/>
                </w:tcPr>
                <w:p w14:paraId="356633B9">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5"/>
                      <w:sz w:val="20"/>
                      <w:szCs w:val="20"/>
                    </w:rPr>
                    <w:t>中性和酸性土壤</w:t>
                  </w:r>
                  <w:r>
                    <w:rPr>
                      <w:rFonts w:hint="eastAsia" w:ascii="仿宋" w:hAnsi="仿宋" w:eastAsia="仿宋" w:cs="仿宋"/>
                      <w:spacing w:val="3"/>
                      <w:sz w:val="20"/>
                      <w:szCs w:val="20"/>
                    </w:rPr>
                    <w:t>（</w:t>
                  </w:r>
                  <w:r>
                    <w:rPr>
                      <w:rFonts w:hint="eastAsia" w:ascii="仿宋" w:hAnsi="仿宋" w:eastAsia="仿宋" w:cs="仿宋"/>
                      <w:sz w:val="20"/>
                      <w:szCs w:val="20"/>
                    </w:rPr>
                    <w:t>PH</w:t>
                  </w:r>
                  <w:r>
                    <w:rPr>
                      <w:rFonts w:hint="eastAsia" w:ascii="仿宋" w:hAnsi="仿宋" w:eastAsia="仿宋" w:cs="仿宋"/>
                      <w:spacing w:val="3"/>
                      <w:sz w:val="20"/>
                      <w:szCs w:val="20"/>
                    </w:rPr>
                    <w:t>≥6.5）</w:t>
                  </w:r>
                </w:p>
              </w:tc>
            </w:tr>
            <w:tr w14:paraId="54BADB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vMerge w:val="continue"/>
                  <w:tcBorders>
                    <w:tl2br w:val="nil"/>
                    <w:tr2bl w:val="nil"/>
                  </w:tcBorders>
                  <w:vAlign w:val="center"/>
                </w:tcPr>
                <w:p w14:paraId="62251D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760" w:type="pct"/>
                  <w:gridSpan w:val="3"/>
                  <w:vMerge w:val="continue"/>
                  <w:tcBorders>
                    <w:tl2br w:val="nil"/>
                    <w:tr2bl w:val="nil"/>
                  </w:tcBorders>
                  <w:vAlign w:val="center"/>
                </w:tcPr>
                <w:p w14:paraId="2C1B34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320" w:type="pct"/>
                  <w:gridSpan w:val="2"/>
                  <w:tcBorders>
                    <w:tl2br w:val="nil"/>
                    <w:tr2bl w:val="nil"/>
                  </w:tcBorders>
                  <w:vAlign w:val="center"/>
                </w:tcPr>
                <w:p w14:paraId="6562C5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6.5~8.5</w:t>
                  </w:r>
                </w:p>
              </w:tc>
              <w:tc>
                <w:tcPr>
                  <w:tcW w:w="1477" w:type="pct"/>
                  <w:gridSpan w:val="2"/>
                  <w:tcBorders>
                    <w:tl2br w:val="nil"/>
                    <w:tr2bl w:val="nil"/>
                  </w:tcBorders>
                  <w:vAlign w:val="center"/>
                </w:tcPr>
                <w:p w14:paraId="4C9C11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2"/>
                      <w:sz w:val="20"/>
                      <w:szCs w:val="20"/>
                    </w:rPr>
                    <w:t>5.5~7.8</w:t>
                  </w:r>
                </w:p>
              </w:tc>
            </w:tr>
            <w:tr w14:paraId="610910C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1278C6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2</w:t>
                  </w:r>
                </w:p>
              </w:tc>
              <w:tc>
                <w:tcPr>
                  <w:tcW w:w="1760" w:type="pct"/>
                  <w:gridSpan w:val="3"/>
                  <w:tcBorders>
                    <w:tl2br w:val="nil"/>
                    <w:tr2bl w:val="nil"/>
                  </w:tcBorders>
                  <w:vAlign w:val="center"/>
                </w:tcPr>
                <w:p w14:paraId="24C4EB2B">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含水率%</w:t>
                  </w:r>
                </w:p>
              </w:tc>
              <w:tc>
                <w:tcPr>
                  <w:tcW w:w="2797" w:type="pct"/>
                  <w:gridSpan w:val="4"/>
                  <w:tcBorders>
                    <w:tl2br w:val="nil"/>
                    <w:tr2bl w:val="nil"/>
                  </w:tcBorders>
                  <w:vAlign w:val="center"/>
                </w:tcPr>
                <w:p w14:paraId="686913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&lt;40.0</w:t>
                  </w:r>
                </w:p>
              </w:tc>
            </w:tr>
            <w:tr w14:paraId="62E8FA5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35B025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3</w:t>
                  </w:r>
                </w:p>
              </w:tc>
              <w:tc>
                <w:tcPr>
                  <w:tcW w:w="1760" w:type="pct"/>
                  <w:gridSpan w:val="3"/>
                  <w:tcBorders>
                    <w:tl2br w:val="nil"/>
                    <w:tr2bl w:val="nil"/>
                  </w:tcBorders>
                  <w:vAlign w:val="center"/>
                </w:tcPr>
                <w:p w14:paraId="23F6F1A2">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6"/>
                      <w:sz w:val="20"/>
                      <w:szCs w:val="20"/>
                    </w:rPr>
                    <w:t>密度/（</w:t>
                  </w:r>
                  <w:r>
                    <w:rPr>
                      <w:rFonts w:hint="eastAsia" w:ascii="仿宋" w:hAnsi="仿宋" w:eastAsia="仿宋" w:cs="仿宋"/>
                      <w:sz w:val="20"/>
                      <w:szCs w:val="20"/>
                    </w:rPr>
                    <w:t>mg</w:t>
                  </w:r>
                  <w:r>
                    <w:rPr>
                      <w:rFonts w:hint="eastAsia" w:ascii="仿宋" w:hAnsi="仿宋" w:eastAsia="仿宋" w:cs="仿宋"/>
                      <w:spacing w:val="6"/>
                      <w:sz w:val="20"/>
                      <w:szCs w:val="20"/>
                    </w:rPr>
                    <w:t>/m</w:t>
                  </w:r>
                  <w:r>
                    <w:rPr>
                      <w:rFonts w:hint="eastAsia" w:ascii="仿宋" w:hAnsi="仿宋" w:eastAsia="仿宋" w:cs="仿宋"/>
                      <w:spacing w:val="6"/>
                      <w:position w:val="6"/>
                      <w:sz w:val="13"/>
                      <w:szCs w:val="13"/>
                    </w:rPr>
                    <w:t>3</w:t>
                  </w:r>
                  <w:r>
                    <w:rPr>
                      <w:rFonts w:hint="eastAsia" w:ascii="仿宋" w:hAnsi="仿宋" w:eastAsia="仿宋" w:cs="仿宋"/>
                      <w:spacing w:val="6"/>
                      <w:sz w:val="20"/>
                      <w:szCs w:val="20"/>
                    </w:rPr>
                    <w:t>）</w:t>
                  </w:r>
                </w:p>
              </w:tc>
              <w:tc>
                <w:tcPr>
                  <w:tcW w:w="2797" w:type="pct"/>
                  <w:gridSpan w:val="4"/>
                  <w:tcBorders>
                    <w:tl2br w:val="nil"/>
                    <w:tr2bl w:val="nil"/>
                  </w:tcBorders>
                  <w:vAlign w:val="center"/>
                </w:tcPr>
                <w:p w14:paraId="7966E0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&lt;1.35</w:t>
                  </w:r>
                </w:p>
              </w:tc>
            </w:tr>
            <w:tr w14:paraId="5A1B84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0C972E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1"/>
                      <w:sz w:val="20"/>
                      <w:szCs w:val="20"/>
                    </w:rPr>
                    <w:t>4</w:t>
                  </w:r>
                </w:p>
              </w:tc>
              <w:tc>
                <w:tcPr>
                  <w:tcW w:w="1760" w:type="pct"/>
                  <w:gridSpan w:val="3"/>
                  <w:tcBorders>
                    <w:tl2br w:val="nil"/>
                    <w:tr2bl w:val="nil"/>
                  </w:tcBorders>
                  <w:vAlign w:val="center"/>
                </w:tcPr>
                <w:p w14:paraId="7EBC506E">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6"/>
                      <w:sz w:val="20"/>
                      <w:szCs w:val="20"/>
                    </w:rPr>
                    <w:t>阴离子交换量/(</w:t>
                  </w:r>
                  <w:r>
                    <w:rPr>
                      <w:rFonts w:hint="eastAsia" w:ascii="仿宋" w:hAnsi="仿宋" w:eastAsia="仿宋" w:cs="仿宋"/>
                      <w:sz w:val="20"/>
                      <w:szCs w:val="20"/>
                    </w:rPr>
                    <w:t>mol</w:t>
                  </w:r>
                  <w:r>
                    <w:rPr>
                      <w:rFonts w:hint="eastAsia" w:ascii="仿宋" w:hAnsi="仿宋" w:eastAsia="仿宋" w:cs="仿宋"/>
                      <w:spacing w:val="6"/>
                      <w:sz w:val="20"/>
                      <w:szCs w:val="20"/>
                    </w:rPr>
                    <w:t>/</w:t>
                  </w:r>
                  <w:r>
                    <w:rPr>
                      <w:rFonts w:hint="eastAsia" w:ascii="仿宋" w:hAnsi="仿宋" w:eastAsia="仿宋" w:cs="仿宋"/>
                      <w:sz w:val="20"/>
                      <w:szCs w:val="20"/>
                    </w:rPr>
                    <w:t>kg</w:t>
                  </w:r>
                  <w:r>
                    <w:rPr>
                      <w:rFonts w:hint="eastAsia" w:ascii="仿宋" w:hAnsi="仿宋" w:eastAsia="仿宋" w:cs="仿宋"/>
                      <w:spacing w:val="6"/>
                      <w:sz w:val="20"/>
                      <w:szCs w:val="20"/>
                    </w:rPr>
                    <w:t>）</w:t>
                  </w:r>
                </w:p>
              </w:tc>
              <w:tc>
                <w:tcPr>
                  <w:tcW w:w="2797" w:type="pct"/>
                  <w:gridSpan w:val="4"/>
                  <w:tcBorders>
                    <w:tl2br w:val="nil"/>
                    <w:tr2bl w:val="nil"/>
                  </w:tcBorders>
                  <w:vAlign w:val="center"/>
                </w:tcPr>
                <w:p w14:paraId="7EE00B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≥10.0</w:t>
                  </w:r>
                </w:p>
              </w:tc>
            </w:tr>
            <w:tr w14:paraId="3AFAEA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1811F6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5</w:t>
                  </w:r>
                </w:p>
              </w:tc>
              <w:tc>
                <w:tcPr>
                  <w:tcW w:w="1760" w:type="pct"/>
                  <w:gridSpan w:val="3"/>
                  <w:tcBorders>
                    <w:tl2br w:val="nil"/>
                    <w:tr2bl w:val="nil"/>
                  </w:tcBorders>
                  <w:vAlign w:val="center"/>
                </w:tcPr>
                <w:p w14:paraId="565DEC71">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发芽指数（</w:t>
                  </w:r>
                  <w:r>
                    <w:rPr>
                      <w:rFonts w:hint="eastAsia" w:ascii="仿宋" w:hAnsi="仿宋" w:eastAsia="仿宋" w:cs="仿宋"/>
                      <w:sz w:val="20"/>
                      <w:szCs w:val="20"/>
                    </w:rPr>
                    <w:t>GI</w:t>
                  </w:r>
                  <w:r>
                    <w:rPr>
                      <w:rFonts w:hint="eastAsia" w:ascii="仿宋" w:hAnsi="仿宋" w:eastAsia="仿宋" w:cs="仿宋"/>
                      <w:spacing w:val="8"/>
                      <w:sz w:val="20"/>
                      <w:szCs w:val="20"/>
                    </w:rPr>
                    <w:t>）/%</w:t>
                  </w:r>
                </w:p>
              </w:tc>
              <w:tc>
                <w:tcPr>
                  <w:tcW w:w="2797" w:type="pct"/>
                  <w:gridSpan w:val="4"/>
                  <w:tcBorders>
                    <w:tl2br w:val="nil"/>
                    <w:tr2bl w:val="nil"/>
                  </w:tcBorders>
                  <w:vAlign w:val="center"/>
                </w:tcPr>
                <w:p w14:paraId="7D4AC7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&gt;70.00</w:t>
                  </w:r>
                </w:p>
              </w:tc>
            </w:tr>
            <w:tr w14:paraId="403622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0030D0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6</w:t>
                  </w:r>
                </w:p>
              </w:tc>
              <w:tc>
                <w:tcPr>
                  <w:tcW w:w="1760" w:type="pct"/>
                  <w:gridSpan w:val="3"/>
                  <w:tcBorders>
                    <w:tl2br w:val="nil"/>
                    <w:tr2bl w:val="nil"/>
                  </w:tcBorders>
                  <w:vAlign w:val="center"/>
                </w:tcPr>
                <w:p w14:paraId="4073EFF3">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硼/（</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2797" w:type="pct"/>
                  <w:gridSpan w:val="4"/>
                  <w:tcBorders>
                    <w:tl2br w:val="nil"/>
                    <w:tr2bl w:val="nil"/>
                  </w:tcBorders>
                  <w:vAlign w:val="center"/>
                </w:tcPr>
                <w:p w14:paraId="33F33E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&lt;150</w:t>
                  </w:r>
                </w:p>
              </w:tc>
            </w:tr>
            <w:tr w14:paraId="0F8F82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76F8D0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7</w:t>
                  </w:r>
                </w:p>
              </w:tc>
              <w:tc>
                <w:tcPr>
                  <w:tcW w:w="1760" w:type="pct"/>
                  <w:gridSpan w:val="3"/>
                  <w:tcBorders>
                    <w:tl2br w:val="nil"/>
                    <w:tr2bl w:val="nil"/>
                  </w:tcBorders>
                  <w:vAlign w:val="center"/>
                </w:tcPr>
                <w:p w14:paraId="202BE220">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矿物油（</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2797" w:type="pct"/>
                  <w:gridSpan w:val="4"/>
                  <w:tcBorders>
                    <w:tl2br w:val="nil"/>
                    <w:tr2bl w:val="nil"/>
                  </w:tcBorders>
                  <w:vAlign w:val="center"/>
                </w:tcPr>
                <w:p w14:paraId="38A8BE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&lt;3000</w:t>
                  </w:r>
                </w:p>
              </w:tc>
            </w:tr>
            <w:tr w14:paraId="50A6B0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1C8F50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8</w:t>
                  </w:r>
                </w:p>
              </w:tc>
              <w:tc>
                <w:tcPr>
                  <w:tcW w:w="1760" w:type="pct"/>
                  <w:gridSpan w:val="3"/>
                  <w:tcBorders>
                    <w:tl2br w:val="nil"/>
                    <w:tr2bl w:val="nil"/>
                  </w:tcBorders>
                  <w:vAlign w:val="center"/>
                </w:tcPr>
                <w:p w14:paraId="627A35C8">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苯并（a）芘/（</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2797" w:type="pct"/>
                  <w:gridSpan w:val="4"/>
                  <w:tcBorders>
                    <w:tl2br w:val="nil"/>
                    <w:tr2bl w:val="nil"/>
                  </w:tcBorders>
                  <w:vAlign w:val="center"/>
                </w:tcPr>
                <w:p w14:paraId="3287C9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&lt;1.5</w:t>
                  </w:r>
                </w:p>
              </w:tc>
            </w:tr>
            <w:tr w14:paraId="56311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76D3D8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9</w:t>
                  </w:r>
                </w:p>
              </w:tc>
              <w:tc>
                <w:tcPr>
                  <w:tcW w:w="1760" w:type="pct"/>
                  <w:gridSpan w:val="3"/>
                  <w:tcBorders>
                    <w:tl2br w:val="nil"/>
                    <w:tr2bl w:val="nil"/>
                  </w:tcBorders>
                  <w:vAlign w:val="center"/>
                </w:tcPr>
                <w:p w14:paraId="601797D5">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可吸入有机卤化物（</w:t>
                  </w:r>
                  <w:r>
                    <w:rPr>
                      <w:rFonts w:hint="eastAsia" w:ascii="仿宋" w:hAnsi="仿宋" w:eastAsia="仿宋" w:cs="仿宋"/>
                      <w:sz w:val="20"/>
                      <w:szCs w:val="20"/>
                    </w:rPr>
                    <w:t>AOX</w:t>
                  </w:r>
                  <w:r>
                    <w:rPr>
                      <w:rFonts w:hint="eastAsia" w:ascii="仿宋" w:hAnsi="仿宋" w:eastAsia="仿宋" w:cs="仿宋"/>
                      <w:spacing w:val="-52"/>
                      <w:sz w:val="20"/>
                      <w:szCs w:val="20"/>
                    </w:rPr>
                    <w:t>）（</w:t>
                  </w:r>
                  <w:r>
                    <w:rPr>
                      <w:rFonts w:hint="eastAsia" w:ascii="仿宋" w:hAnsi="仿宋" w:eastAsia="仿宋" w:cs="仿宋"/>
                      <w:spacing w:val="8"/>
                      <w:sz w:val="20"/>
                      <w:szCs w:val="20"/>
                    </w:rPr>
                    <w:t>以</w:t>
                  </w:r>
                  <w:r>
                    <w:rPr>
                      <w:rFonts w:hint="eastAsia" w:ascii="仿宋" w:hAnsi="仿宋" w:eastAsia="仿宋" w:cs="仿宋"/>
                      <w:sz w:val="20"/>
                      <w:szCs w:val="20"/>
                    </w:rPr>
                    <w:t xml:space="preserve"> CI</w:t>
                  </w:r>
                  <w:r>
                    <w:rPr>
                      <w:rFonts w:hint="eastAsia" w:ascii="仿宋" w:hAnsi="仿宋" w:eastAsia="仿宋" w:cs="仿宋"/>
                      <w:spacing w:val="8"/>
                      <w:sz w:val="20"/>
                      <w:szCs w:val="20"/>
                    </w:rPr>
                    <w:t xml:space="preserve"> 计）/（</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14"/>
                      <w:w w:val="101"/>
                      <w:sz w:val="20"/>
                      <w:szCs w:val="20"/>
                    </w:rPr>
                    <w:t xml:space="preserve"> </w:t>
                  </w:r>
                  <w:r>
                    <w:rPr>
                      <w:rFonts w:hint="eastAsia" w:ascii="仿宋" w:hAnsi="仿宋" w:eastAsia="仿宋" w:cs="仿宋"/>
                      <w:spacing w:val="8"/>
                      <w:sz w:val="20"/>
                      <w:szCs w:val="20"/>
                    </w:rPr>
                    <w:t>干污泥）</w:t>
                  </w:r>
                </w:p>
              </w:tc>
              <w:tc>
                <w:tcPr>
                  <w:tcW w:w="2797" w:type="pct"/>
                  <w:gridSpan w:val="4"/>
                  <w:tcBorders>
                    <w:tl2br w:val="nil"/>
                    <w:tr2bl w:val="nil"/>
                  </w:tcBorders>
                  <w:vAlign w:val="center"/>
                </w:tcPr>
                <w:p w14:paraId="69E468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&lt;500</w:t>
                  </w:r>
                </w:p>
              </w:tc>
            </w:tr>
            <w:tr w14:paraId="5F483E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8"/>
                  <w:tcBorders>
                    <w:tl2br w:val="nil"/>
                    <w:tr2bl w:val="nil"/>
                  </w:tcBorders>
                  <w:vAlign w:val="center"/>
                </w:tcPr>
                <w:p w14:paraId="7224BD0A">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b/>
                      <w:bCs/>
                      <w:spacing w:val="7"/>
                      <w:sz w:val="20"/>
                      <w:szCs w:val="20"/>
                    </w:rPr>
                    <w:t>重金属指标限值</w:t>
                  </w:r>
                </w:p>
              </w:tc>
            </w:tr>
            <w:tr w14:paraId="642533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vMerge w:val="restart"/>
                  <w:tcBorders>
                    <w:tl2br w:val="nil"/>
                    <w:tr2bl w:val="nil"/>
                  </w:tcBorders>
                  <w:vAlign w:val="center"/>
                </w:tcPr>
                <w:p w14:paraId="0B99C3C4">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5"/>
                      <w:sz w:val="20"/>
                      <w:szCs w:val="20"/>
                    </w:rPr>
                    <w:t>序号</w:t>
                  </w:r>
                </w:p>
              </w:tc>
              <w:tc>
                <w:tcPr>
                  <w:tcW w:w="1427" w:type="pct"/>
                  <w:gridSpan w:val="2"/>
                  <w:vMerge w:val="restart"/>
                  <w:tcBorders>
                    <w:tl2br w:val="nil"/>
                    <w:tr2bl w:val="nil"/>
                  </w:tcBorders>
                  <w:vAlign w:val="center"/>
                </w:tcPr>
                <w:p w14:paraId="57E41C2A">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控制项目</w:t>
                  </w:r>
                </w:p>
              </w:tc>
              <w:tc>
                <w:tcPr>
                  <w:tcW w:w="3130" w:type="pct"/>
                  <w:gridSpan w:val="5"/>
                  <w:tcBorders>
                    <w:tl2br w:val="nil"/>
                    <w:tr2bl w:val="nil"/>
                  </w:tcBorders>
                  <w:vAlign w:val="center"/>
                </w:tcPr>
                <w:p w14:paraId="60B1DDB6">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6"/>
                      <w:sz w:val="20"/>
                      <w:szCs w:val="20"/>
                    </w:rPr>
                    <w:t>B类营养土</w:t>
                  </w:r>
                </w:p>
              </w:tc>
            </w:tr>
            <w:tr w14:paraId="08E619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vMerge w:val="continue"/>
                  <w:tcBorders>
                    <w:tl2br w:val="nil"/>
                    <w:tr2bl w:val="nil"/>
                  </w:tcBorders>
                  <w:vAlign w:val="center"/>
                </w:tcPr>
                <w:p w14:paraId="1B7B6C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427" w:type="pct"/>
                  <w:gridSpan w:val="2"/>
                  <w:vMerge w:val="continue"/>
                  <w:tcBorders>
                    <w:tl2br w:val="nil"/>
                    <w:tr2bl w:val="nil"/>
                  </w:tcBorders>
                  <w:vAlign w:val="center"/>
                </w:tcPr>
                <w:p w14:paraId="55DCAD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1"/>
                    </w:rPr>
                  </w:pPr>
                </w:p>
              </w:tc>
              <w:tc>
                <w:tcPr>
                  <w:tcW w:w="1317" w:type="pct"/>
                  <w:gridSpan w:val="2"/>
                  <w:tcBorders>
                    <w:tl2br w:val="nil"/>
                    <w:tr2bl w:val="nil"/>
                  </w:tcBorders>
                  <w:vAlign w:val="center"/>
                </w:tcPr>
                <w:p w14:paraId="06DF688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7"/>
                      <w:sz w:val="20"/>
                      <w:szCs w:val="20"/>
                    </w:rPr>
                    <w:t>酸性土壤（</w:t>
                  </w:r>
                  <w:r>
                    <w:rPr>
                      <w:rFonts w:hint="eastAsia" w:ascii="仿宋" w:hAnsi="仿宋" w:eastAsia="仿宋" w:cs="仿宋"/>
                      <w:sz w:val="20"/>
                      <w:szCs w:val="20"/>
                    </w:rPr>
                    <w:t>PH</w:t>
                  </w:r>
                  <w:r>
                    <w:rPr>
                      <w:rFonts w:hint="eastAsia" w:ascii="仿宋" w:hAnsi="仿宋" w:eastAsia="仿宋" w:cs="仿宋"/>
                      <w:spacing w:val="7"/>
                      <w:sz w:val="20"/>
                      <w:szCs w:val="20"/>
                    </w:rPr>
                    <w:t>&lt;6.5）</w:t>
                  </w:r>
                </w:p>
              </w:tc>
              <w:tc>
                <w:tcPr>
                  <w:tcW w:w="1813" w:type="pct"/>
                  <w:gridSpan w:val="3"/>
                  <w:tcBorders>
                    <w:tl2br w:val="nil"/>
                    <w:tr2bl w:val="nil"/>
                  </w:tcBorders>
                  <w:vAlign w:val="center"/>
                </w:tcPr>
                <w:p w14:paraId="1C36DB0E">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6"/>
                      <w:sz w:val="20"/>
                      <w:szCs w:val="20"/>
                    </w:rPr>
                    <w:t>中性和酸性土壤（</w:t>
                  </w:r>
                  <w:r>
                    <w:rPr>
                      <w:rFonts w:hint="eastAsia" w:ascii="仿宋" w:hAnsi="仿宋" w:eastAsia="仿宋" w:cs="仿宋"/>
                      <w:sz w:val="20"/>
                      <w:szCs w:val="20"/>
                    </w:rPr>
                    <w:t>PH</w:t>
                  </w:r>
                  <w:r>
                    <w:rPr>
                      <w:rFonts w:hint="eastAsia" w:ascii="仿宋" w:hAnsi="仿宋" w:eastAsia="仿宋" w:cs="仿宋"/>
                      <w:spacing w:val="6"/>
                      <w:sz w:val="20"/>
                      <w:szCs w:val="20"/>
                    </w:rPr>
                    <w:t>≥6.5）</w:t>
                  </w:r>
                </w:p>
              </w:tc>
            </w:tr>
            <w:tr w14:paraId="457726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6DBE18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1</w:t>
                  </w:r>
                </w:p>
              </w:tc>
              <w:tc>
                <w:tcPr>
                  <w:tcW w:w="1427" w:type="pct"/>
                  <w:gridSpan w:val="2"/>
                  <w:tcBorders>
                    <w:tl2br w:val="nil"/>
                    <w:tr2bl w:val="nil"/>
                  </w:tcBorders>
                  <w:vAlign w:val="center"/>
                </w:tcPr>
                <w:p w14:paraId="53593DB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总镉（</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5745FF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≤1.00</w:t>
                  </w:r>
                </w:p>
              </w:tc>
              <w:tc>
                <w:tcPr>
                  <w:tcW w:w="1813" w:type="pct"/>
                  <w:gridSpan w:val="3"/>
                  <w:tcBorders>
                    <w:tl2br w:val="nil"/>
                    <w:tr2bl w:val="nil"/>
                  </w:tcBorders>
                  <w:vAlign w:val="center"/>
                </w:tcPr>
                <w:p w14:paraId="21D451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≤1.20</w:t>
                  </w:r>
                </w:p>
              </w:tc>
            </w:tr>
            <w:tr w14:paraId="02B774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304C5B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2</w:t>
                  </w:r>
                </w:p>
              </w:tc>
              <w:tc>
                <w:tcPr>
                  <w:tcW w:w="1427" w:type="pct"/>
                  <w:gridSpan w:val="2"/>
                  <w:tcBorders>
                    <w:tl2br w:val="nil"/>
                    <w:tr2bl w:val="nil"/>
                  </w:tcBorders>
                  <w:vAlign w:val="center"/>
                </w:tcPr>
                <w:p w14:paraId="6E9C707F">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总汞（</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0310FC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≤1.20</w:t>
                  </w:r>
                </w:p>
              </w:tc>
              <w:tc>
                <w:tcPr>
                  <w:tcW w:w="1813" w:type="pct"/>
                  <w:gridSpan w:val="3"/>
                  <w:tcBorders>
                    <w:tl2br w:val="nil"/>
                    <w:tr2bl w:val="nil"/>
                  </w:tcBorders>
                  <w:vAlign w:val="center"/>
                </w:tcPr>
                <w:p w14:paraId="727450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≤1.50</w:t>
                  </w:r>
                </w:p>
              </w:tc>
            </w:tr>
            <w:tr w14:paraId="074B79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1C23BD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3</w:t>
                  </w:r>
                </w:p>
              </w:tc>
              <w:tc>
                <w:tcPr>
                  <w:tcW w:w="1427" w:type="pct"/>
                  <w:gridSpan w:val="2"/>
                  <w:tcBorders>
                    <w:tl2br w:val="nil"/>
                    <w:tr2bl w:val="nil"/>
                  </w:tcBorders>
                  <w:vAlign w:val="center"/>
                </w:tcPr>
                <w:p w14:paraId="3940EB25">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总铅（</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606D75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≤350</w:t>
                  </w:r>
                </w:p>
              </w:tc>
              <w:tc>
                <w:tcPr>
                  <w:tcW w:w="1813" w:type="pct"/>
                  <w:gridSpan w:val="3"/>
                  <w:tcBorders>
                    <w:tl2br w:val="nil"/>
                    <w:tr2bl w:val="nil"/>
                  </w:tcBorders>
                  <w:vAlign w:val="center"/>
                </w:tcPr>
                <w:p w14:paraId="584632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≤450</w:t>
                  </w:r>
                </w:p>
              </w:tc>
            </w:tr>
            <w:tr w14:paraId="28E634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34538D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1"/>
                      <w:sz w:val="20"/>
                      <w:szCs w:val="20"/>
                    </w:rPr>
                    <w:t>4</w:t>
                  </w:r>
                </w:p>
              </w:tc>
              <w:tc>
                <w:tcPr>
                  <w:tcW w:w="1427" w:type="pct"/>
                  <w:gridSpan w:val="2"/>
                  <w:tcBorders>
                    <w:tl2br w:val="nil"/>
                    <w:tr2bl w:val="nil"/>
                  </w:tcBorders>
                  <w:vAlign w:val="center"/>
                </w:tcPr>
                <w:p w14:paraId="0110C54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总铬（</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3E22DF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≤250</w:t>
                  </w:r>
                </w:p>
              </w:tc>
              <w:tc>
                <w:tcPr>
                  <w:tcW w:w="1813" w:type="pct"/>
                  <w:gridSpan w:val="3"/>
                  <w:tcBorders>
                    <w:tl2br w:val="nil"/>
                    <w:tr2bl w:val="nil"/>
                  </w:tcBorders>
                  <w:vAlign w:val="center"/>
                </w:tcPr>
                <w:p w14:paraId="18309A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≤250</w:t>
                  </w:r>
                </w:p>
              </w:tc>
            </w:tr>
            <w:tr w14:paraId="726C52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73070D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5</w:t>
                  </w:r>
                </w:p>
              </w:tc>
              <w:tc>
                <w:tcPr>
                  <w:tcW w:w="1427" w:type="pct"/>
                  <w:gridSpan w:val="2"/>
                  <w:tcBorders>
                    <w:tl2br w:val="nil"/>
                    <w:tr2bl w:val="nil"/>
                  </w:tcBorders>
                  <w:vAlign w:val="center"/>
                </w:tcPr>
                <w:p w14:paraId="55F2F200">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总砷（</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177EBC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≤40.0</w:t>
                  </w:r>
                </w:p>
              </w:tc>
              <w:tc>
                <w:tcPr>
                  <w:tcW w:w="1813" w:type="pct"/>
                  <w:gridSpan w:val="3"/>
                  <w:tcBorders>
                    <w:tl2br w:val="nil"/>
                    <w:tr2bl w:val="nil"/>
                  </w:tcBorders>
                  <w:vAlign w:val="center"/>
                </w:tcPr>
                <w:p w14:paraId="5581F2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3"/>
                      <w:sz w:val="20"/>
                      <w:szCs w:val="20"/>
                    </w:rPr>
                    <w:t>≤35.0</w:t>
                  </w:r>
                </w:p>
              </w:tc>
            </w:tr>
            <w:tr w14:paraId="77D2D8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6D3307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6</w:t>
                  </w:r>
                </w:p>
              </w:tc>
              <w:tc>
                <w:tcPr>
                  <w:tcW w:w="1427" w:type="pct"/>
                  <w:gridSpan w:val="2"/>
                  <w:tcBorders>
                    <w:tl2br w:val="nil"/>
                    <w:tr2bl w:val="nil"/>
                  </w:tcBorders>
                  <w:vAlign w:val="center"/>
                </w:tcPr>
                <w:p w14:paraId="6AFC3B51">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总镍（</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5CD290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≤100.0</w:t>
                  </w:r>
                </w:p>
              </w:tc>
              <w:tc>
                <w:tcPr>
                  <w:tcW w:w="1813" w:type="pct"/>
                  <w:gridSpan w:val="3"/>
                  <w:tcBorders>
                    <w:tl2br w:val="nil"/>
                    <w:tr2bl w:val="nil"/>
                  </w:tcBorders>
                  <w:vAlign w:val="center"/>
                </w:tcPr>
                <w:p w14:paraId="520CAC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≤150</w:t>
                  </w:r>
                </w:p>
              </w:tc>
            </w:tr>
            <w:tr w14:paraId="249328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52E2A9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7</w:t>
                  </w:r>
                </w:p>
              </w:tc>
              <w:tc>
                <w:tcPr>
                  <w:tcW w:w="1427" w:type="pct"/>
                  <w:gridSpan w:val="2"/>
                  <w:tcBorders>
                    <w:tl2br w:val="nil"/>
                    <w:tr2bl w:val="nil"/>
                  </w:tcBorders>
                  <w:vAlign w:val="center"/>
                </w:tcPr>
                <w:p w14:paraId="1DD9E612">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总锌（</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5D58C1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≤450</w:t>
                  </w:r>
                </w:p>
              </w:tc>
              <w:tc>
                <w:tcPr>
                  <w:tcW w:w="1813" w:type="pct"/>
                  <w:gridSpan w:val="3"/>
                  <w:tcBorders>
                    <w:tl2br w:val="nil"/>
                    <w:tr2bl w:val="nil"/>
                  </w:tcBorders>
                  <w:vAlign w:val="center"/>
                </w:tcPr>
                <w:p w14:paraId="4F510C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≤500</w:t>
                  </w:r>
                </w:p>
              </w:tc>
            </w:tr>
            <w:tr w14:paraId="375A50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442" w:type="pct"/>
                  <w:tcBorders>
                    <w:tl2br w:val="nil"/>
                    <w:tr2bl w:val="nil"/>
                  </w:tcBorders>
                  <w:vAlign w:val="center"/>
                </w:tcPr>
                <w:p w14:paraId="5AF243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z w:val="20"/>
                      <w:szCs w:val="20"/>
                    </w:rPr>
                    <w:t>8</w:t>
                  </w:r>
                </w:p>
              </w:tc>
              <w:tc>
                <w:tcPr>
                  <w:tcW w:w="1427" w:type="pct"/>
                  <w:gridSpan w:val="2"/>
                  <w:tcBorders>
                    <w:tl2br w:val="nil"/>
                    <w:tr2bl w:val="nil"/>
                  </w:tcBorders>
                  <w:vAlign w:val="center"/>
                </w:tcPr>
                <w:p w14:paraId="171B0188">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8"/>
                      <w:sz w:val="20"/>
                      <w:szCs w:val="20"/>
                    </w:rPr>
                    <w:t>总铜（</w:t>
                  </w:r>
                  <w:r>
                    <w:rPr>
                      <w:rFonts w:hint="eastAsia" w:ascii="仿宋" w:hAnsi="仿宋" w:eastAsia="仿宋" w:cs="仿宋"/>
                      <w:sz w:val="20"/>
                      <w:szCs w:val="20"/>
                    </w:rPr>
                    <w:t>mg</w:t>
                  </w:r>
                  <w:r>
                    <w:rPr>
                      <w:rFonts w:hint="eastAsia" w:ascii="仿宋" w:hAnsi="仿宋" w:eastAsia="仿宋" w:cs="仿宋"/>
                      <w:spacing w:val="8"/>
                      <w:sz w:val="20"/>
                      <w:szCs w:val="20"/>
                    </w:rPr>
                    <w:t>/</w:t>
                  </w:r>
                  <w:r>
                    <w:rPr>
                      <w:rFonts w:hint="eastAsia" w:ascii="仿宋" w:hAnsi="仿宋" w:eastAsia="仿宋" w:cs="仿宋"/>
                      <w:sz w:val="20"/>
                      <w:szCs w:val="20"/>
                    </w:rPr>
                    <w:t>kg</w:t>
                  </w:r>
                  <w:r>
                    <w:rPr>
                      <w:rFonts w:hint="eastAsia" w:ascii="仿宋" w:hAnsi="仿宋" w:eastAsia="仿宋" w:cs="仿宋"/>
                      <w:spacing w:val="8"/>
                      <w:sz w:val="20"/>
                      <w:szCs w:val="20"/>
                    </w:rPr>
                    <w:t xml:space="preserve"> 干污泥）</w:t>
                  </w:r>
                </w:p>
              </w:tc>
              <w:tc>
                <w:tcPr>
                  <w:tcW w:w="1317" w:type="pct"/>
                  <w:gridSpan w:val="2"/>
                  <w:tcBorders>
                    <w:tl2br w:val="nil"/>
                    <w:tr2bl w:val="nil"/>
                  </w:tcBorders>
                  <w:vAlign w:val="center"/>
                </w:tcPr>
                <w:p w14:paraId="772558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≤350</w:t>
                  </w:r>
                </w:p>
              </w:tc>
              <w:tc>
                <w:tcPr>
                  <w:tcW w:w="1813" w:type="pct"/>
                  <w:gridSpan w:val="3"/>
                  <w:tcBorders>
                    <w:tl2br w:val="nil"/>
                    <w:tr2bl w:val="nil"/>
                  </w:tcBorders>
                  <w:vAlign w:val="center"/>
                </w:tcPr>
                <w:p w14:paraId="711B50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4"/>
                      <w:sz w:val="20"/>
                      <w:szCs w:val="20"/>
                    </w:rPr>
                    <w:t>≤400</w:t>
                  </w:r>
                </w:p>
              </w:tc>
            </w:tr>
            <w:tr w14:paraId="114BC8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8"/>
                  <w:tcBorders>
                    <w:tl2br w:val="nil"/>
                    <w:tr2bl w:val="nil"/>
                  </w:tcBorders>
                  <w:vAlign w:val="center"/>
                </w:tcPr>
                <w:p w14:paraId="059BE23B">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0"/>
                      <w:szCs w:val="20"/>
                    </w:rPr>
                  </w:pPr>
                  <w:r>
                    <w:rPr>
                      <w:rFonts w:hint="eastAsia" w:ascii="仿宋" w:hAnsi="仿宋" w:eastAsia="仿宋" w:cs="仿宋"/>
                      <w:spacing w:val="9"/>
                      <w:sz w:val="20"/>
                      <w:szCs w:val="20"/>
                    </w:rPr>
                    <w:t>备注：本项目生产的营养土仅用于道路绿化带、工厂附属绿化带、防护林等，因</w:t>
                  </w:r>
                  <w:r>
                    <w:rPr>
                      <w:rFonts w:hint="eastAsia" w:ascii="仿宋" w:hAnsi="仿宋" w:eastAsia="仿宋" w:cs="仿宋"/>
                      <w:spacing w:val="8"/>
                      <w:sz w:val="20"/>
                      <w:szCs w:val="20"/>
                    </w:rPr>
                    <w:t>此重金属指标限值级别按</w:t>
                  </w:r>
                  <w:r>
                    <w:rPr>
                      <w:rFonts w:hint="eastAsia" w:ascii="仿宋" w:hAnsi="仿宋" w:eastAsia="仿宋" w:cs="仿宋"/>
                      <w:spacing w:val="-40"/>
                      <w:sz w:val="20"/>
                      <w:szCs w:val="20"/>
                    </w:rPr>
                    <w:t xml:space="preserve"> </w:t>
                  </w:r>
                  <w:r>
                    <w:rPr>
                      <w:rFonts w:hint="eastAsia" w:ascii="仿宋" w:hAnsi="仿宋" w:eastAsia="仿宋" w:cs="仿宋"/>
                      <w:spacing w:val="8"/>
                      <w:sz w:val="20"/>
                      <w:szCs w:val="20"/>
                    </w:rPr>
                    <w:t>B类营养土执行。</w:t>
                  </w:r>
                </w:p>
              </w:tc>
            </w:tr>
          </w:tbl>
          <w:p w14:paraId="4C47C864">
            <w:pPr>
              <w:pStyle w:val="136"/>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i w:val="0"/>
                <w:iCs w:val="0"/>
                <w:sz w:val="24"/>
                <w:szCs w:val="24"/>
              </w:rPr>
            </w:pPr>
            <w:r>
              <w:rPr>
                <w:rFonts w:hint="eastAsia" w:ascii="仿宋" w:hAnsi="仿宋" w:eastAsia="仿宋" w:cs="仿宋"/>
                <w:i w:val="0"/>
                <w:iCs w:val="0"/>
                <w:spacing w:val="-1"/>
                <w:sz w:val="24"/>
                <w:szCs w:val="24"/>
              </w:rPr>
              <w:t>项目营养土主要用途为园林（非果林）苗圃培养、公路、铁路、河岸和矿山等工程建设的植被恢复，主要去向为以上工程项目采购，不作为农肥。</w:t>
            </w:r>
          </w:p>
          <w:p w14:paraId="50E7BAE9">
            <w:pPr>
              <w:pStyle w:val="136"/>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jc w:val="both"/>
              <w:textAlignment w:val="baseline"/>
              <w:rPr>
                <w:rFonts w:hint="eastAsia" w:ascii="仿宋" w:hAnsi="仿宋" w:eastAsia="仿宋" w:cs="仿宋"/>
                <w:i w:val="0"/>
                <w:iCs w:val="0"/>
                <w:sz w:val="24"/>
                <w:szCs w:val="24"/>
              </w:rPr>
            </w:pPr>
            <w:r>
              <w:rPr>
                <w:rFonts w:hint="eastAsia" w:ascii="仿宋" w:hAnsi="仿宋" w:eastAsia="仿宋" w:cs="仿宋"/>
                <w:b/>
                <w:bCs/>
                <w:i w:val="0"/>
                <w:iCs w:val="0"/>
                <w:spacing w:val="-3"/>
                <w:sz w:val="24"/>
                <w:szCs w:val="24"/>
              </w:rPr>
              <w:t>本次评价要求建设单位应根据污泥来源对营养土成分进行产品质量检验；不能达标的产品应委托当地垃圾填埋场或处置单位进行无害化处置，不得流入市场</w:t>
            </w:r>
            <w:r>
              <w:rPr>
                <w:rFonts w:hint="eastAsia" w:ascii="仿宋" w:hAnsi="仿宋" w:eastAsia="仿宋" w:cs="仿宋"/>
                <w:b/>
                <w:bCs/>
                <w:i w:val="0"/>
                <w:iCs w:val="0"/>
                <w:spacing w:val="-5"/>
                <w:sz w:val="24"/>
                <w:szCs w:val="24"/>
              </w:rPr>
              <w:t>和作肥料。</w:t>
            </w:r>
          </w:p>
          <w:p w14:paraId="5D2462D0">
            <w:pPr>
              <w:pStyle w:val="136"/>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i w:val="0"/>
                <w:iCs w:val="0"/>
                <w:sz w:val="24"/>
                <w:szCs w:val="24"/>
              </w:rPr>
            </w:pPr>
            <w:r>
              <w:rPr>
                <w:rFonts w:hint="eastAsia" w:ascii="仿宋" w:hAnsi="仿宋" w:eastAsia="仿宋" w:cs="仿宋"/>
                <w:i w:val="0"/>
                <w:iCs w:val="0"/>
                <w:sz w:val="24"/>
                <w:szCs w:val="24"/>
              </w:rPr>
              <w:t>根据《有机肥料》NY/T525-2021中原料要求：禁止选用粉煤灰、钢渣、</w:t>
            </w:r>
            <w:r>
              <w:rPr>
                <w:rFonts w:hint="eastAsia" w:ascii="仿宋" w:hAnsi="仿宋" w:eastAsia="仿宋" w:cs="仿宋"/>
                <w:b/>
                <w:bCs/>
                <w:i w:val="0"/>
                <w:iCs w:val="0"/>
                <w:sz w:val="24"/>
                <w:szCs w:val="24"/>
              </w:rPr>
              <w:t>污泥</w:t>
            </w:r>
            <w:r>
              <w:rPr>
                <w:rFonts w:hint="eastAsia" w:ascii="仿宋" w:hAnsi="仿宋" w:eastAsia="仿宋" w:cs="仿宋"/>
                <w:i w:val="0"/>
                <w:iCs w:val="0"/>
                <w:sz w:val="24"/>
                <w:szCs w:val="24"/>
              </w:rPr>
              <w:t>、生活垃圾（经分类陈化后的厨余废弃物除</w:t>
            </w:r>
            <w:r>
              <w:rPr>
                <w:rFonts w:hint="eastAsia" w:ascii="仿宋" w:hAnsi="仿宋" w:eastAsia="仿宋" w:cs="仿宋"/>
                <w:i w:val="0"/>
                <w:iCs w:val="0"/>
                <w:spacing w:val="-1"/>
                <w:sz w:val="24"/>
                <w:szCs w:val="24"/>
              </w:rPr>
              <w:t>外）、含有外来入侵物种的物料和</w:t>
            </w:r>
            <w:r>
              <w:rPr>
                <w:rFonts w:hint="eastAsia" w:ascii="仿宋" w:hAnsi="仿宋" w:eastAsia="仿宋" w:cs="仿宋"/>
                <w:i w:val="0"/>
                <w:iCs w:val="0"/>
                <w:sz w:val="24"/>
                <w:szCs w:val="24"/>
              </w:rPr>
              <w:t>法律法规禁止的物料等存在安全隐患的禁用类原料。因此本项目生活污泥</w:t>
            </w:r>
            <w:r>
              <w:rPr>
                <w:rFonts w:hint="eastAsia" w:ascii="仿宋" w:hAnsi="仿宋" w:eastAsia="仿宋" w:cs="仿宋"/>
                <w:i w:val="0"/>
                <w:iCs w:val="0"/>
                <w:spacing w:val="-1"/>
                <w:sz w:val="24"/>
                <w:szCs w:val="24"/>
              </w:rPr>
              <w:t>不适用于生产有机肥，故进厂生活污泥只用于生产园林绿化营养土。</w:t>
            </w:r>
            <w:r>
              <w:rPr>
                <w:rFonts w:hint="eastAsia" w:ascii="仿宋" w:hAnsi="仿宋" w:eastAsia="仿宋" w:cs="仿宋"/>
                <w:b/>
                <w:bCs/>
                <w:i w:val="0"/>
                <w:iCs w:val="0"/>
                <w:spacing w:val="-1"/>
                <w:sz w:val="24"/>
                <w:szCs w:val="24"/>
              </w:rPr>
              <w:t>建设单</w:t>
            </w:r>
            <w:r>
              <w:rPr>
                <w:rFonts w:hint="eastAsia" w:ascii="仿宋" w:hAnsi="仿宋" w:eastAsia="仿宋" w:cs="仿宋"/>
                <w:b/>
                <w:bCs/>
                <w:i w:val="0"/>
                <w:iCs w:val="0"/>
                <w:spacing w:val="-2"/>
                <w:sz w:val="24"/>
                <w:szCs w:val="24"/>
              </w:rPr>
              <w:t>位出具了承</w:t>
            </w:r>
            <w:r>
              <w:rPr>
                <w:rFonts w:hint="eastAsia" w:ascii="仿宋" w:hAnsi="仿宋" w:eastAsia="仿宋" w:cs="仿宋"/>
                <w:b/>
                <w:bCs/>
                <w:i w:val="0"/>
                <w:iCs w:val="0"/>
                <w:spacing w:val="-6"/>
                <w:sz w:val="24"/>
                <w:szCs w:val="24"/>
              </w:rPr>
              <w:t>诺书：不对进厂污泥堆肥作有机肥</w:t>
            </w:r>
            <w:r>
              <w:rPr>
                <w:rFonts w:hint="eastAsia" w:ascii="仿宋" w:hAnsi="仿宋" w:eastAsia="仿宋" w:cs="仿宋"/>
                <w:i w:val="0"/>
                <w:iCs w:val="0"/>
                <w:spacing w:val="-6"/>
                <w:sz w:val="24"/>
                <w:szCs w:val="24"/>
              </w:rPr>
              <w:t>。同时在日常营运过程中建立产品去向台账记</w:t>
            </w:r>
            <w:r>
              <w:rPr>
                <w:rFonts w:hint="eastAsia" w:ascii="仿宋" w:hAnsi="仿宋" w:eastAsia="仿宋" w:cs="仿宋"/>
                <w:i w:val="0"/>
                <w:iCs w:val="0"/>
                <w:sz w:val="24"/>
                <w:szCs w:val="24"/>
              </w:rPr>
              <w:t>录制度，告知采购商，园林绿化营养土产</w:t>
            </w:r>
            <w:bookmarkStart w:id="4" w:name="_GoBack"/>
            <w:bookmarkEnd w:id="4"/>
            <w:r>
              <w:rPr>
                <w:rFonts w:hint="eastAsia" w:ascii="仿宋" w:hAnsi="仿宋" w:eastAsia="仿宋" w:cs="仿宋"/>
                <w:i w:val="0"/>
                <w:iCs w:val="0"/>
                <w:sz w:val="24"/>
                <w:szCs w:val="24"/>
              </w:rPr>
              <w:t>品不得用于有机肥料生产原料和农肥；</w:t>
            </w:r>
          </w:p>
          <w:p w14:paraId="7D4BAC8B">
            <w:pPr>
              <w:pStyle w:val="136"/>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sz w:val="24"/>
                <w:szCs w:val="24"/>
              </w:rPr>
              <w:t>根据产品使用地的面积、土壤污染本底值和植物特</w:t>
            </w:r>
            <w:r>
              <w:rPr>
                <w:rFonts w:hint="eastAsia" w:ascii="仿宋" w:hAnsi="仿宋" w:eastAsia="仿宋" w:cs="仿宋"/>
                <w:i w:val="0"/>
                <w:iCs w:val="0"/>
                <w:spacing w:val="-1"/>
                <w:sz w:val="24"/>
                <w:szCs w:val="24"/>
              </w:rPr>
              <w:t>性，确定合理的使用量；加强使用地地下水和土壤跟踪监测；在饮用水源地保护地带严禁使用。</w:t>
            </w:r>
          </w:p>
          <w:p w14:paraId="278F90DA">
            <w:pPr>
              <w:keepNext w:val="0"/>
              <w:keepLines w:val="0"/>
              <w:pageBreakBefore w:val="0"/>
              <w:widowControl w:val="0"/>
              <w:kinsoku/>
              <w:wordWrap/>
              <w:overflowPunct/>
              <w:topLinePunct w:val="0"/>
              <w:bidi w:val="0"/>
              <w:snapToGrid/>
              <w:spacing w:line="360" w:lineRule="auto"/>
              <w:ind w:firstLine="472" w:firstLineChars="196"/>
              <w:textAlignment w:val="auto"/>
              <w:rPr>
                <w:rFonts w:hint="eastAsia" w:ascii="仿宋" w:hAnsi="仿宋" w:eastAsia="仿宋" w:cs="仿宋"/>
                <w:b/>
                <w:color w:val="auto"/>
                <w:kern w:val="28"/>
                <w:sz w:val="24"/>
                <w:lang w:val="en-US" w:eastAsia="zh-CN"/>
              </w:rPr>
            </w:pPr>
            <w:r>
              <w:rPr>
                <w:rFonts w:hint="eastAsia" w:ascii="仿宋" w:hAnsi="仿宋" w:eastAsia="仿宋" w:cs="仿宋"/>
                <w:b/>
                <w:color w:val="auto"/>
                <w:kern w:val="28"/>
                <w:sz w:val="24"/>
                <w:lang w:val="en-US" w:eastAsia="zh-CN"/>
              </w:rPr>
              <w:t>4、设备清单</w:t>
            </w:r>
          </w:p>
          <w:p w14:paraId="694EAC94">
            <w:pPr>
              <w:pStyle w:val="73"/>
              <w:keepNext w:val="0"/>
              <w:keepLines w:val="0"/>
              <w:pageBreakBefore w:val="0"/>
              <w:widowControl w:val="0"/>
              <w:tabs>
                <w:tab w:val="left" w:pos="3345"/>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表2-</w:t>
            </w:r>
            <w:r>
              <w:rPr>
                <w:rFonts w:hint="eastAsia" w:ascii="仿宋" w:hAnsi="仿宋" w:eastAsia="仿宋" w:cs="仿宋"/>
                <w:b/>
                <w:color w:val="auto"/>
                <w:sz w:val="21"/>
                <w:szCs w:val="21"/>
                <w:highlight w:val="none"/>
                <w:lang w:val="en-US" w:eastAsia="zh-CN"/>
              </w:rPr>
              <w:t>5</w:t>
            </w:r>
            <w:r>
              <w:rPr>
                <w:rFonts w:hint="eastAsia" w:ascii="仿宋" w:hAnsi="仿宋" w:eastAsia="仿宋" w:cs="仿宋"/>
                <w:b/>
                <w:color w:val="auto"/>
                <w:sz w:val="21"/>
                <w:szCs w:val="21"/>
                <w:highlight w:val="none"/>
              </w:rPr>
              <w:t xml:space="preserve">   主要设备一览表</w:t>
            </w:r>
          </w:p>
          <w:tbl>
            <w:tblPr>
              <w:tblStyle w:val="32"/>
              <w:tblW w:w="8505"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shd w:val="clear" w:color="auto" w:fill="auto"/>
              <w:tblLayout w:type="autofit"/>
              <w:tblCellMar>
                <w:top w:w="0" w:type="dxa"/>
                <w:left w:w="108" w:type="dxa"/>
                <w:bottom w:w="0" w:type="dxa"/>
                <w:right w:w="108" w:type="dxa"/>
              </w:tblCellMar>
            </w:tblPr>
            <w:tblGrid>
              <w:gridCol w:w="1080"/>
              <w:gridCol w:w="3225"/>
              <w:gridCol w:w="1830"/>
              <w:gridCol w:w="1290"/>
              <w:gridCol w:w="1080"/>
            </w:tblGrid>
            <w:tr w14:paraId="6300FA6F">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shd w:val="clear" w:color="auto" w:fill="auto"/>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29E2AB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225" w:type="dxa"/>
                  <w:tcBorders>
                    <w:tl2br w:val="nil"/>
                    <w:tr2bl w:val="nil"/>
                  </w:tcBorders>
                  <w:shd w:val="clear" w:color="auto" w:fill="auto"/>
                  <w:vAlign w:val="center"/>
                </w:tcPr>
                <w:p w14:paraId="08B5D8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1830" w:type="dxa"/>
                  <w:tcBorders>
                    <w:tl2br w:val="nil"/>
                    <w:tr2bl w:val="nil"/>
                  </w:tcBorders>
                  <w:shd w:val="clear" w:color="auto" w:fill="auto"/>
                  <w:vAlign w:val="center"/>
                </w:tcPr>
                <w:p w14:paraId="3BE62B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290" w:type="dxa"/>
                  <w:tcBorders>
                    <w:tl2br w:val="nil"/>
                    <w:tr2bl w:val="nil"/>
                  </w:tcBorders>
                  <w:shd w:val="clear" w:color="auto" w:fill="auto"/>
                  <w:vAlign w:val="center"/>
                </w:tcPr>
                <w:p w14:paraId="5041AC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080" w:type="dxa"/>
                  <w:tcBorders>
                    <w:tl2br w:val="nil"/>
                    <w:tr2bl w:val="nil"/>
                  </w:tcBorders>
                  <w:shd w:val="clear" w:color="auto" w:fill="auto"/>
                  <w:vAlign w:val="center"/>
                </w:tcPr>
                <w:p w14:paraId="3C0EC5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6F3AC79D">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148CAB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225" w:type="dxa"/>
                  <w:tcBorders>
                    <w:tl2br w:val="nil"/>
                    <w:tr2bl w:val="nil"/>
                  </w:tcBorders>
                  <w:shd w:val="clear" w:color="auto" w:fill="auto"/>
                  <w:vAlign w:val="center"/>
                </w:tcPr>
                <w:p w14:paraId="1F5A21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高温发酵机</w:t>
                  </w:r>
                </w:p>
              </w:tc>
              <w:tc>
                <w:tcPr>
                  <w:tcW w:w="1830" w:type="dxa"/>
                  <w:tcBorders>
                    <w:tl2br w:val="nil"/>
                    <w:tr2bl w:val="nil"/>
                  </w:tcBorders>
                  <w:shd w:val="clear" w:color="auto" w:fill="auto"/>
                  <w:vAlign w:val="center"/>
                </w:tcPr>
                <w:p w14:paraId="6E8DD5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30m³</w:t>
                  </w:r>
                  <w:r>
                    <w:rPr>
                      <w:rStyle w:val="128"/>
                      <w:lang w:val="en-US" w:eastAsia="zh-CN" w:bidi="ar"/>
                    </w:rPr>
                    <w:t>-30kw</w:t>
                  </w:r>
                </w:p>
              </w:tc>
              <w:tc>
                <w:tcPr>
                  <w:tcW w:w="1290" w:type="dxa"/>
                  <w:tcBorders>
                    <w:tl2br w:val="nil"/>
                    <w:tr2bl w:val="nil"/>
                  </w:tcBorders>
                  <w:shd w:val="clear" w:color="auto" w:fill="auto"/>
                  <w:vAlign w:val="center"/>
                </w:tcPr>
                <w:p w14:paraId="7AF564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579F14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0E90E4B3">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4A58AF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225" w:type="dxa"/>
                  <w:tcBorders>
                    <w:tl2br w:val="nil"/>
                    <w:tr2bl w:val="nil"/>
                  </w:tcBorders>
                  <w:shd w:val="clear" w:color="auto" w:fill="auto"/>
                  <w:vAlign w:val="center"/>
                </w:tcPr>
                <w:p w14:paraId="53DE59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出料输送机</w:t>
                  </w:r>
                </w:p>
              </w:tc>
              <w:tc>
                <w:tcPr>
                  <w:tcW w:w="1830" w:type="dxa"/>
                  <w:tcBorders>
                    <w:tl2br w:val="nil"/>
                    <w:tr2bl w:val="nil"/>
                  </w:tcBorders>
                  <w:shd w:val="clear" w:color="auto" w:fill="auto"/>
                  <w:vAlign w:val="center"/>
                </w:tcPr>
                <w:p w14:paraId="2E2BD0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B600</w:t>
                  </w:r>
                </w:p>
              </w:tc>
              <w:tc>
                <w:tcPr>
                  <w:tcW w:w="1290" w:type="dxa"/>
                  <w:tcBorders>
                    <w:tl2br w:val="nil"/>
                    <w:tr2bl w:val="nil"/>
                  </w:tcBorders>
                  <w:shd w:val="clear" w:color="auto" w:fill="auto"/>
                  <w:vAlign w:val="center"/>
                </w:tcPr>
                <w:p w14:paraId="69DE52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7CB44B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7C4BAEC">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3B4722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3225" w:type="dxa"/>
                  <w:tcBorders>
                    <w:tl2br w:val="nil"/>
                    <w:tr2bl w:val="nil"/>
                  </w:tcBorders>
                  <w:shd w:val="clear" w:color="auto" w:fill="auto"/>
                  <w:vAlign w:val="center"/>
                </w:tcPr>
                <w:p w14:paraId="68DFDC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成品筛分机</w:t>
                  </w:r>
                </w:p>
              </w:tc>
              <w:tc>
                <w:tcPr>
                  <w:tcW w:w="1830" w:type="dxa"/>
                  <w:tcBorders>
                    <w:tl2br w:val="nil"/>
                    <w:tr2bl w:val="nil"/>
                  </w:tcBorders>
                  <w:shd w:val="clear" w:color="auto" w:fill="auto"/>
                  <w:vAlign w:val="center"/>
                </w:tcPr>
                <w:p w14:paraId="23F2B8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φ1.2*4m-4kw</w:t>
                  </w:r>
                </w:p>
              </w:tc>
              <w:tc>
                <w:tcPr>
                  <w:tcW w:w="1290" w:type="dxa"/>
                  <w:tcBorders>
                    <w:tl2br w:val="nil"/>
                    <w:tr2bl w:val="nil"/>
                  </w:tcBorders>
                  <w:shd w:val="clear" w:color="auto" w:fill="auto"/>
                  <w:vAlign w:val="center"/>
                </w:tcPr>
                <w:p w14:paraId="226968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3014CF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C3A2C81">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69805F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225" w:type="dxa"/>
                  <w:tcBorders>
                    <w:tl2br w:val="nil"/>
                    <w:tr2bl w:val="nil"/>
                  </w:tcBorders>
                  <w:shd w:val="clear" w:color="auto" w:fill="auto"/>
                  <w:vAlign w:val="center"/>
                </w:tcPr>
                <w:p w14:paraId="195211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返料粉碎机</w:t>
                  </w:r>
                </w:p>
              </w:tc>
              <w:tc>
                <w:tcPr>
                  <w:tcW w:w="1830" w:type="dxa"/>
                  <w:tcBorders>
                    <w:tl2br w:val="nil"/>
                    <w:tr2bl w:val="nil"/>
                  </w:tcBorders>
                  <w:shd w:val="clear" w:color="auto" w:fill="auto"/>
                  <w:vAlign w:val="center"/>
                </w:tcPr>
                <w:p w14:paraId="6343E7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LF-600-22kw</w:t>
                  </w:r>
                </w:p>
              </w:tc>
              <w:tc>
                <w:tcPr>
                  <w:tcW w:w="1290" w:type="dxa"/>
                  <w:tcBorders>
                    <w:tl2br w:val="nil"/>
                    <w:tr2bl w:val="nil"/>
                  </w:tcBorders>
                  <w:shd w:val="clear" w:color="auto" w:fill="auto"/>
                  <w:vAlign w:val="center"/>
                </w:tcPr>
                <w:p w14:paraId="2A6739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1A08C1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0BA135">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545B5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3225" w:type="dxa"/>
                  <w:tcBorders>
                    <w:tl2br w:val="nil"/>
                    <w:tr2bl w:val="nil"/>
                  </w:tcBorders>
                  <w:shd w:val="clear" w:color="auto" w:fill="auto"/>
                  <w:vAlign w:val="center"/>
                </w:tcPr>
                <w:p w14:paraId="25C5D3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铲车喂料机</w:t>
                  </w:r>
                </w:p>
              </w:tc>
              <w:tc>
                <w:tcPr>
                  <w:tcW w:w="1830" w:type="dxa"/>
                  <w:tcBorders>
                    <w:tl2br w:val="nil"/>
                    <w:tr2bl w:val="nil"/>
                  </w:tcBorders>
                  <w:shd w:val="clear" w:color="auto" w:fill="auto"/>
                  <w:vAlign w:val="center"/>
                </w:tcPr>
                <w:p w14:paraId="4BD258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1290" w:type="dxa"/>
                  <w:tcBorders>
                    <w:tl2br w:val="nil"/>
                    <w:tr2bl w:val="nil"/>
                  </w:tcBorders>
                  <w:shd w:val="clear" w:color="auto" w:fill="auto"/>
                  <w:vAlign w:val="center"/>
                </w:tcPr>
                <w:p w14:paraId="033D5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6AACCE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8ECE2D2">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83" w:hRule="atLeast"/>
                <w:jc w:val="center"/>
              </w:trPr>
              <w:tc>
                <w:tcPr>
                  <w:tcW w:w="1080" w:type="dxa"/>
                  <w:tcBorders>
                    <w:tl2br w:val="nil"/>
                    <w:tr2bl w:val="nil"/>
                  </w:tcBorders>
                  <w:shd w:val="clear" w:color="auto" w:fill="auto"/>
                  <w:vAlign w:val="center"/>
                </w:tcPr>
                <w:p w14:paraId="60736C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3225" w:type="dxa"/>
                  <w:tcBorders>
                    <w:tl2br w:val="nil"/>
                    <w:tr2bl w:val="nil"/>
                  </w:tcBorders>
                  <w:shd w:val="clear" w:color="auto" w:fill="auto"/>
                  <w:vAlign w:val="center"/>
                </w:tcPr>
                <w:p w14:paraId="77751F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全自动包装机</w:t>
                  </w:r>
                </w:p>
              </w:tc>
              <w:tc>
                <w:tcPr>
                  <w:tcW w:w="1830" w:type="dxa"/>
                  <w:tcBorders>
                    <w:tl2br w:val="nil"/>
                    <w:tr2bl w:val="nil"/>
                  </w:tcBorders>
                  <w:shd w:val="clear" w:color="auto" w:fill="auto"/>
                  <w:vAlign w:val="center"/>
                </w:tcPr>
                <w:p w14:paraId="09C78A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290" w:type="dxa"/>
                  <w:tcBorders>
                    <w:tl2br w:val="nil"/>
                    <w:tr2bl w:val="nil"/>
                  </w:tcBorders>
                  <w:shd w:val="clear" w:color="auto" w:fill="auto"/>
                  <w:vAlign w:val="center"/>
                </w:tcPr>
                <w:p w14:paraId="356085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080" w:type="dxa"/>
                  <w:tcBorders>
                    <w:tl2br w:val="nil"/>
                    <w:tr2bl w:val="nil"/>
                  </w:tcBorders>
                  <w:shd w:val="clear" w:color="auto" w:fill="auto"/>
                  <w:vAlign w:val="center"/>
                </w:tcPr>
                <w:p w14:paraId="46DE82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bl>
          <w:p w14:paraId="0AE75375">
            <w:pPr>
              <w:pStyle w:val="94"/>
              <w:keepNext w:val="0"/>
              <w:keepLines w:val="0"/>
              <w:pageBreakBefore w:val="0"/>
              <w:widowControl w:val="0"/>
              <w:kinsoku/>
              <w:wordWrap/>
              <w:overflowPunct/>
              <w:topLinePunct w:val="0"/>
              <w:autoSpaceDE/>
              <w:autoSpaceDN/>
              <w:bidi w:val="0"/>
              <w:adjustRightInd/>
              <w:snapToGrid/>
              <w:spacing w:line="440" w:lineRule="exact"/>
              <w:ind w:firstLine="478" w:firstLineChars="200"/>
              <w:textAlignment w:val="auto"/>
              <w:rPr>
                <w:rFonts w:hint="eastAsia" w:ascii="仿宋" w:hAnsi="仿宋" w:eastAsia="仿宋" w:cs="仿宋"/>
                <w:b/>
                <w:bCs/>
                <w:color w:val="auto"/>
                <w:spacing w:val="-1"/>
                <w:sz w:val="24"/>
                <w:szCs w:val="24"/>
                <w:lang w:val="en-US" w:eastAsia="zh-CN"/>
              </w:rPr>
            </w:pPr>
            <w:r>
              <w:rPr>
                <w:rFonts w:hint="eastAsia" w:ascii="仿宋" w:hAnsi="仿宋" w:eastAsia="仿宋" w:cs="仿宋"/>
                <w:b/>
                <w:bCs/>
                <w:color w:val="auto"/>
                <w:spacing w:val="-1"/>
                <w:sz w:val="24"/>
                <w:szCs w:val="24"/>
                <w:lang w:val="en-US" w:eastAsia="zh-CN"/>
              </w:rPr>
              <w:t>5</w:t>
            </w:r>
            <w:r>
              <w:rPr>
                <w:rFonts w:hint="eastAsia" w:ascii="仿宋" w:hAnsi="仿宋" w:eastAsia="仿宋" w:cs="仿宋"/>
                <w:b/>
                <w:bCs/>
                <w:color w:val="auto"/>
                <w:spacing w:val="-1"/>
                <w:sz w:val="24"/>
                <w:szCs w:val="24"/>
                <w:lang w:eastAsia="zh-CN"/>
              </w:rPr>
              <w:t>、主要原辅材料</w:t>
            </w:r>
            <w:r>
              <w:rPr>
                <w:rFonts w:hint="eastAsia" w:ascii="仿宋" w:hAnsi="仿宋" w:eastAsia="仿宋" w:cs="仿宋"/>
                <w:b/>
                <w:bCs/>
                <w:color w:val="auto"/>
                <w:spacing w:val="-1"/>
                <w:sz w:val="24"/>
                <w:szCs w:val="24"/>
                <w:lang w:val="en-US" w:eastAsia="zh-CN"/>
              </w:rPr>
              <w:t>及能源消耗</w:t>
            </w:r>
          </w:p>
          <w:p w14:paraId="462C41D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主要原辅材料消耗情况见表2-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w:t>
            </w:r>
          </w:p>
          <w:p w14:paraId="3C994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表2-</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 xml:space="preserve">  主要原辅料</w:t>
            </w:r>
            <w:r>
              <w:rPr>
                <w:rFonts w:hint="eastAsia" w:ascii="仿宋" w:hAnsi="仿宋" w:eastAsia="仿宋" w:cs="仿宋"/>
                <w:b/>
                <w:color w:val="auto"/>
                <w:sz w:val="24"/>
                <w:szCs w:val="24"/>
                <w:lang w:val="en-US" w:eastAsia="zh-CN"/>
              </w:rPr>
              <w:t>及能源</w:t>
            </w:r>
            <w:r>
              <w:rPr>
                <w:rFonts w:hint="eastAsia" w:ascii="仿宋" w:hAnsi="仿宋" w:eastAsia="仿宋" w:cs="仿宋"/>
                <w:b/>
                <w:color w:val="auto"/>
                <w:sz w:val="24"/>
                <w:szCs w:val="24"/>
              </w:rPr>
              <w:t>消耗表</w:t>
            </w:r>
          </w:p>
          <w:tbl>
            <w:tblPr>
              <w:tblStyle w:val="32"/>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69"/>
              <w:gridCol w:w="1626"/>
              <w:gridCol w:w="854"/>
              <w:gridCol w:w="1116"/>
              <w:gridCol w:w="1164"/>
              <w:gridCol w:w="751"/>
              <w:gridCol w:w="1216"/>
              <w:gridCol w:w="1442"/>
            </w:tblGrid>
            <w:tr w14:paraId="2998F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72" w:type="pct"/>
                  <w:tcBorders>
                    <w:tl2br w:val="nil"/>
                    <w:tr2bl w:val="nil"/>
                  </w:tcBorders>
                  <w:shd w:val="clear" w:color="auto" w:fill="auto"/>
                  <w:vAlign w:val="center"/>
                </w:tcPr>
                <w:p w14:paraId="1E7576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类别</w:t>
                  </w:r>
                </w:p>
              </w:tc>
              <w:tc>
                <w:tcPr>
                  <w:tcW w:w="940" w:type="pct"/>
                  <w:tcBorders>
                    <w:tl2br w:val="nil"/>
                    <w:tr2bl w:val="nil"/>
                  </w:tcBorders>
                  <w:shd w:val="clear" w:color="auto" w:fill="auto"/>
                  <w:vAlign w:val="center"/>
                </w:tcPr>
                <w:p w14:paraId="53CD90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原料名称</w:t>
                  </w:r>
                </w:p>
              </w:tc>
              <w:tc>
                <w:tcPr>
                  <w:tcW w:w="494" w:type="pct"/>
                  <w:tcBorders>
                    <w:tl2br w:val="nil"/>
                    <w:tr2bl w:val="nil"/>
                  </w:tcBorders>
                  <w:shd w:val="clear" w:color="auto" w:fill="auto"/>
                  <w:vAlign w:val="center"/>
                </w:tcPr>
                <w:p w14:paraId="102369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形态</w:t>
                  </w:r>
                </w:p>
              </w:tc>
              <w:tc>
                <w:tcPr>
                  <w:tcW w:w="645" w:type="pct"/>
                  <w:tcBorders>
                    <w:tl2br w:val="nil"/>
                    <w:tr2bl w:val="nil"/>
                  </w:tcBorders>
                  <w:shd w:val="clear" w:color="auto" w:fill="auto"/>
                  <w:vAlign w:val="center"/>
                </w:tcPr>
                <w:p w14:paraId="6F6D67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使用量（t/a）</w:t>
                  </w:r>
                </w:p>
              </w:tc>
              <w:tc>
                <w:tcPr>
                  <w:tcW w:w="673" w:type="pct"/>
                  <w:tcBorders>
                    <w:tl2br w:val="nil"/>
                    <w:tr2bl w:val="nil"/>
                  </w:tcBorders>
                  <w:shd w:val="clear" w:color="auto" w:fill="auto"/>
                  <w:vAlign w:val="center"/>
                </w:tcPr>
                <w:p w14:paraId="09D550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最大储存量（t）</w:t>
                  </w:r>
                </w:p>
              </w:tc>
              <w:tc>
                <w:tcPr>
                  <w:tcW w:w="434" w:type="pct"/>
                  <w:tcBorders>
                    <w:tl2br w:val="nil"/>
                    <w:tr2bl w:val="nil"/>
                  </w:tcBorders>
                  <w:shd w:val="clear" w:color="auto" w:fill="auto"/>
                  <w:vAlign w:val="center"/>
                </w:tcPr>
                <w:p w14:paraId="098D3B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包装方式</w:t>
                  </w:r>
                </w:p>
              </w:tc>
              <w:tc>
                <w:tcPr>
                  <w:tcW w:w="703" w:type="pct"/>
                  <w:tcBorders>
                    <w:tl2br w:val="nil"/>
                    <w:tr2bl w:val="nil"/>
                  </w:tcBorders>
                  <w:shd w:val="clear" w:color="auto" w:fill="auto"/>
                  <w:vAlign w:val="center"/>
                </w:tcPr>
                <w:p w14:paraId="62F805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储存位置</w:t>
                  </w:r>
                </w:p>
              </w:tc>
              <w:tc>
                <w:tcPr>
                  <w:tcW w:w="834" w:type="pct"/>
                  <w:tcBorders>
                    <w:tl2br w:val="nil"/>
                    <w:tr2bl w:val="nil"/>
                  </w:tcBorders>
                  <w:shd w:val="clear" w:color="auto" w:fill="auto"/>
                  <w:vAlign w:val="center"/>
                </w:tcPr>
                <w:p w14:paraId="0C34FD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来源</w:t>
                  </w:r>
                </w:p>
              </w:tc>
            </w:tr>
            <w:tr w14:paraId="2D04A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72" w:type="pct"/>
                  <w:vMerge w:val="restart"/>
                  <w:tcBorders>
                    <w:tl2br w:val="nil"/>
                    <w:tr2bl w:val="nil"/>
                  </w:tcBorders>
                  <w:shd w:val="clear" w:color="auto" w:fill="auto"/>
                  <w:vAlign w:val="center"/>
                </w:tcPr>
                <w:p w14:paraId="38E825F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原辅料</w:t>
                  </w:r>
                </w:p>
              </w:tc>
              <w:tc>
                <w:tcPr>
                  <w:tcW w:w="940" w:type="pct"/>
                  <w:tcBorders>
                    <w:tl2br w:val="nil"/>
                    <w:tr2bl w:val="nil"/>
                  </w:tcBorders>
                  <w:shd w:val="clear" w:color="auto" w:fill="auto"/>
                  <w:vAlign w:val="center"/>
                </w:tcPr>
                <w:p w14:paraId="6CFAD0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城镇生活污泥</w:t>
                  </w:r>
                </w:p>
              </w:tc>
              <w:tc>
                <w:tcPr>
                  <w:tcW w:w="494" w:type="pct"/>
                  <w:tcBorders>
                    <w:tl2br w:val="nil"/>
                    <w:tr2bl w:val="nil"/>
                  </w:tcBorders>
                  <w:shd w:val="clear" w:color="auto" w:fill="auto"/>
                  <w:vAlign w:val="center"/>
                </w:tcPr>
                <w:p w14:paraId="751DB7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固态</w:t>
                  </w:r>
                </w:p>
              </w:tc>
              <w:tc>
                <w:tcPr>
                  <w:tcW w:w="645" w:type="pct"/>
                  <w:tcBorders>
                    <w:tl2br w:val="nil"/>
                    <w:tr2bl w:val="nil"/>
                  </w:tcBorders>
                  <w:shd w:val="clear" w:color="auto" w:fill="auto"/>
                  <w:vAlign w:val="center"/>
                </w:tcPr>
                <w:p w14:paraId="0EAFB5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75149.398  </w:t>
                  </w:r>
                </w:p>
              </w:tc>
              <w:tc>
                <w:tcPr>
                  <w:tcW w:w="673" w:type="pct"/>
                  <w:tcBorders>
                    <w:tl2br w:val="nil"/>
                    <w:tr2bl w:val="nil"/>
                  </w:tcBorders>
                  <w:shd w:val="clear" w:color="auto" w:fill="auto"/>
                  <w:vAlign w:val="center"/>
                </w:tcPr>
                <w:p w14:paraId="62F5964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500</w:t>
                  </w:r>
                </w:p>
              </w:tc>
              <w:tc>
                <w:tcPr>
                  <w:tcW w:w="434" w:type="pct"/>
                  <w:tcBorders>
                    <w:tl2br w:val="nil"/>
                    <w:tr2bl w:val="nil"/>
                  </w:tcBorders>
                  <w:shd w:val="clear" w:color="auto" w:fill="auto"/>
                  <w:vAlign w:val="center"/>
                </w:tcPr>
                <w:p w14:paraId="2B50BC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捆装</w:t>
                  </w:r>
                </w:p>
              </w:tc>
              <w:tc>
                <w:tcPr>
                  <w:tcW w:w="703" w:type="pct"/>
                  <w:tcBorders>
                    <w:tl2br w:val="nil"/>
                    <w:tr2bl w:val="nil"/>
                  </w:tcBorders>
                  <w:shd w:val="clear" w:color="auto" w:fill="auto"/>
                  <w:vAlign w:val="center"/>
                </w:tcPr>
                <w:p w14:paraId="75A7BE5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b w:val="0"/>
                      <w:bCs w:val="0"/>
                      <w:color w:val="000000"/>
                      <w:sz w:val="21"/>
                      <w:szCs w:val="21"/>
                      <w:lang w:val="en-US" w:eastAsia="zh-CN"/>
                    </w:rPr>
                    <w:t>原材料库</w:t>
                  </w:r>
                </w:p>
              </w:tc>
              <w:tc>
                <w:tcPr>
                  <w:tcW w:w="834" w:type="pct"/>
                  <w:tcBorders>
                    <w:tl2br w:val="nil"/>
                    <w:tr2bl w:val="nil"/>
                  </w:tcBorders>
                  <w:shd w:val="clear" w:color="auto" w:fill="auto"/>
                  <w:vAlign w:val="center"/>
                </w:tcPr>
                <w:p w14:paraId="12CD9B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收购当地各乡镇农户</w:t>
                  </w:r>
                </w:p>
              </w:tc>
            </w:tr>
            <w:tr w14:paraId="4DB4E1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272" w:type="pct"/>
                  <w:vMerge w:val="continue"/>
                  <w:tcBorders>
                    <w:tl2br w:val="nil"/>
                    <w:tr2bl w:val="nil"/>
                  </w:tcBorders>
                  <w:shd w:val="clear" w:color="auto" w:fill="auto"/>
                  <w:vAlign w:val="center"/>
                </w:tcPr>
                <w:p w14:paraId="5CFEFFB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p>
              </w:tc>
              <w:tc>
                <w:tcPr>
                  <w:tcW w:w="940" w:type="pct"/>
                  <w:tcBorders>
                    <w:tl2br w:val="nil"/>
                    <w:tr2bl w:val="nil"/>
                  </w:tcBorders>
                  <w:shd w:val="clear" w:color="auto" w:fill="auto"/>
                  <w:vAlign w:val="center"/>
                </w:tcPr>
                <w:p w14:paraId="700E48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秸秆</w:t>
                  </w:r>
                </w:p>
              </w:tc>
              <w:tc>
                <w:tcPr>
                  <w:tcW w:w="494" w:type="pct"/>
                  <w:tcBorders>
                    <w:tl2br w:val="nil"/>
                    <w:tr2bl w:val="nil"/>
                  </w:tcBorders>
                  <w:shd w:val="clear" w:color="auto" w:fill="auto"/>
                  <w:vAlign w:val="center"/>
                </w:tcPr>
                <w:p w14:paraId="0ED5A4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固态</w:t>
                  </w:r>
                </w:p>
              </w:tc>
              <w:tc>
                <w:tcPr>
                  <w:tcW w:w="645" w:type="pct"/>
                  <w:tcBorders>
                    <w:tl2br w:val="nil"/>
                    <w:tr2bl w:val="nil"/>
                  </w:tcBorders>
                  <w:shd w:val="clear" w:color="auto" w:fill="auto"/>
                  <w:vAlign w:val="center"/>
                </w:tcPr>
                <w:p w14:paraId="7A3BAF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19316.142 </w:t>
                  </w:r>
                </w:p>
              </w:tc>
              <w:tc>
                <w:tcPr>
                  <w:tcW w:w="673" w:type="pct"/>
                  <w:tcBorders>
                    <w:tl2br w:val="nil"/>
                    <w:tr2bl w:val="nil"/>
                  </w:tcBorders>
                  <w:shd w:val="clear" w:color="auto" w:fill="auto"/>
                  <w:vAlign w:val="center"/>
                </w:tcPr>
                <w:p w14:paraId="64E3482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2100</w:t>
                  </w:r>
                </w:p>
              </w:tc>
              <w:tc>
                <w:tcPr>
                  <w:tcW w:w="434" w:type="pct"/>
                  <w:tcBorders>
                    <w:tl2br w:val="nil"/>
                    <w:tr2bl w:val="nil"/>
                  </w:tcBorders>
                  <w:shd w:val="clear" w:color="auto" w:fill="auto"/>
                  <w:vAlign w:val="center"/>
                </w:tcPr>
                <w:p w14:paraId="49BBEF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30t/车</w:t>
                  </w:r>
                </w:p>
              </w:tc>
              <w:tc>
                <w:tcPr>
                  <w:tcW w:w="703" w:type="pct"/>
                  <w:tcBorders>
                    <w:tl2br w:val="nil"/>
                    <w:tr2bl w:val="nil"/>
                  </w:tcBorders>
                  <w:shd w:val="clear" w:color="auto" w:fill="auto"/>
                  <w:vAlign w:val="center"/>
                </w:tcPr>
                <w:p w14:paraId="3BFB3A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i w:val="0"/>
                      <w:iCs w:val="0"/>
                      <w:color w:val="000000"/>
                      <w:sz w:val="20"/>
                      <w:szCs w:val="20"/>
                      <w:highlight w:val="yellow"/>
                      <w:u w:val="none"/>
                      <w:lang w:val="en-US"/>
                    </w:rPr>
                  </w:pPr>
                  <w:r>
                    <w:rPr>
                      <w:rFonts w:hint="eastAsia" w:ascii="仿宋" w:hAnsi="仿宋" w:eastAsia="仿宋" w:cs="仿宋"/>
                      <w:b w:val="0"/>
                      <w:bCs w:val="0"/>
                      <w:color w:val="000000"/>
                      <w:sz w:val="21"/>
                      <w:szCs w:val="21"/>
                      <w:lang w:val="en-US" w:eastAsia="zh-CN"/>
                    </w:rPr>
                    <w:t>污泥暂存区</w:t>
                  </w:r>
                </w:p>
              </w:tc>
              <w:tc>
                <w:tcPr>
                  <w:tcW w:w="834" w:type="pct"/>
                  <w:tcBorders>
                    <w:tl2br w:val="nil"/>
                    <w:tr2bl w:val="nil"/>
                  </w:tcBorders>
                  <w:shd w:val="clear" w:color="auto" w:fill="auto"/>
                  <w:vAlign w:val="center"/>
                </w:tcPr>
                <w:p w14:paraId="5B9B23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周边城镇生活污水厂</w:t>
                  </w:r>
                </w:p>
              </w:tc>
            </w:tr>
            <w:tr w14:paraId="637AF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vMerge w:val="continue"/>
                  <w:tcBorders>
                    <w:tl2br w:val="nil"/>
                    <w:tr2bl w:val="nil"/>
                  </w:tcBorders>
                  <w:shd w:val="clear" w:color="auto" w:fill="auto"/>
                  <w:vAlign w:val="center"/>
                </w:tcPr>
                <w:p w14:paraId="56A44F7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p>
              </w:tc>
              <w:tc>
                <w:tcPr>
                  <w:tcW w:w="940" w:type="pct"/>
                  <w:tcBorders>
                    <w:tl2br w:val="nil"/>
                    <w:tr2bl w:val="nil"/>
                  </w:tcBorders>
                  <w:shd w:val="clear" w:color="auto" w:fill="auto"/>
                  <w:vAlign w:val="center"/>
                </w:tcPr>
                <w:p w14:paraId="0FE2E3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草木灰</w:t>
                  </w:r>
                </w:p>
              </w:tc>
              <w:tc>
                <w:tcPr>
                  <w:tcW w:w="494" w:type="pct"/>
                  <w:tcBorders>
                    <w:tl2br w:val="nil"/>
                    <w:tr2bl w:val="nil"/>
                  </w:tcBorders>
                  <w:shd w:val="clear" w:color="auto" w:fill="auto"/>
                  <w:vAlign w:val="center"/>
                </w:tcPr>
                <w:p w14:paraId="329B1B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固态</w:t>
                  </w:r>
                </w:p>
              </w:tc>
              <w:tc>
                <w:tcPr>
                  <w:tcW w:w="645" w:type="pct"/>
                  <w:tcBorders>
                    <w:tl2br w:val="nil"/>
                    <w:tr2bl w:val="nil"/>
                  </w:tcBorders>
                  <w:shd w:val="clear" w:color="auto" w:fill="auto"/>
                  <w:vAlign w:val="center"/>
                </w:tcPr>
                <w:p w14:paraId="7668BD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19316.142 </w:t>
                  </w:r>
                </w:p>
              </w:tc>
              <w:tc>
                <w:tcPr>
                  <w:tcW w:w="673" w:type="pct"/>
                  <w:tcBorders>
                    <w:tl2br w:val="nil"/>
                    <w:tr2bl w:val="nil"/>
                  </w:tcBorders>
                  <w:shd w:val="clear" w:color="auto" w:fill="auto"/>
                  <w:vAlign w:val="center"/>
                </w:tcPr>
                <w:p w14:paraId="3720782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lang w:val="en-US" w:eastAsia="zh-CN"/>
                    </w:rPr>
                    <w:t>500</w:t>
                  </w:r>
                </w:p>
              </w:tc>
              <w:tc>
                <w:tcPr>
                  <w:tcW w:w="434" w:type="pct"/>
                  <w:tcBorders>
                    <w:tl2br w:val="nil"/>
                    <w:tr2bl w:val="nil"/>
                  </w:tcBorders>
                  <w:shd w:val="clear" w:color="auto" w:fill="auto"/>
                  <w:vAlign w:val="center"/>
                </w:tcPr>
                <w:p w14:paraId="7AD8A8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袋装</w:t>
                  </w:r>
                </w:p>
              </w:tc>
              <w:tc>
                <w:tcPr>
                  <w:tcW w:w="703" w:type="pct"/>
                  <w:tcBorders>
                    <w:tl2br w:val="nil"/>
                    <w:tr2bl w:val="nil"/>
                  </w:tcBorders>
                  <w:shd w:val="clear" w:color="auto" w:fill="auto"/>
                  <w:vAlign w:val="center"/>
                </w:tcPr>
                <w:p w14:paraId="26194D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b w:val="0"/>
                      <w:bCs w:val="0"/>
                      <w:color w:val="000000"/>
                      <w:sz w:val="21"/>
                      <w:szCs w:val="21"/>
                      <w:lang w:val="en-US" w:eastAsia="zh-CN"/>
                    </w:rPr>
                    <w:t>原材料库</w:t>
                  </w:r>
                </w:p>
              </w:tc>
              <w:tc>
                <w:tcPr>
                  <w:tcW w:w="834" w:type="pct"/>
                  <w:tcBorders>
                    <w:tl2br w:val="nil"/>
                    <w:tr2bl w:val="nil"/>
                  </w:tcBorders>
                  <w:shd w:val="clear" w:color="auto" w:fill="auto"/>
                  <w:vAlign w:val="center"/>
                </w:tcPr>
                <w:p w14:paraId="20AF6B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收购当地各乡镇农户</w:t>
                  </w:r>
                </w:p>
              </w:tc>
            </w:tr>
            <w:tr w14:paraId="283FF9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vMerge w:val="continue"/>
                  <w:tcBorders>
                    <w:tl2br w:val="nil"/>
                    <w:tr2bl w:val="nil"/>
                  </w:tcBorders>
                  <w:shd w:val="clear" w:color="auto" w:fill="auto"/>
                  <w:vAlign w:val="center"/>
                </w:tcPr>
                <w:p w14:paraId="14CDC70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p>
              </w:tc>
              <w:tc>
                <w:tcPr>
                  <w:tcW w:w="940" w:type="pct"/>
                  <w:tcBorders>
                    <w:tl2br w:val="nil"/>
                    <w:tr2bl w:val="nil"/>
                  </w:tcBorders>
                  <w:shd w:val="clear" w:color="auto" w:fill="auto"/>
                  <w:vAlign w:val="center"/>
                </w:tcPr>
                <w:p w14:paraId="233ECC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药渣</w:t>
                  </w:r>
                </w:p>
              </w:tc>
              <w:tc>
                <w:tcPr>
                  <w:tcW w:w="494" w:type="pct"/>
                  <w:tcBorders>
                    <w:tl2br w:val="nil"/>
                    <w:tr2bl w:val="nil"/>
                  </w:tcBorders>
                  <w:shd w:val="clear" w:color="auto" w:fill="auto"/>
                  <w:vAlign w:val="center"/>
                </w:tcPr>
                <w:p w14:paraId="5C56CC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p>
              </w:tc>
              <w:tc>
                <w:tcPr>
                  <w:tcW w:w="645" w:type="pct"/>
                  <w:tcBorders>
                    <w:tl2br w:val="nil"/>
                    <w:tr2bl w:val="nil"/>
                  </w:tcBorders>
                  <w:shd w:val="clear" w:color="auto" w:fill="auto"/>
                  <w:vAlign w:val="center"/>
                </w:tcPr>
                <w:p w14:paraId="2A652F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19316.142 </w:t>
                  </w:r>
                </w:p>
              </w:tc>
              <w:tc>
                <w:tcPr>
                  <w:tcW w:w="673" w:type="pct"/>
                  <w:tcBorders>
                    <w:tl2br w:val="nil"/>
                    <w:tr2bl w:val="nil"/>
                  </w:tcBorders>
                  <w:shd w:val="clear" w:color="auto" w:fill="auto"/>
                  <w:vAlign w:val="center"/>
                </w:tcPr>
                <w:p w14:paraId="423371E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lang w:val="en-US" w:eastAsia="zh-CN"/>
                    </w:rPr>
                    <w:t>500</w:t>
                  </w:r>
                </w:p>
              </w:tc>
              <w:tc>
                <w:tcPr>
                  <w:tcW w:w="434" w:type="pct"/>
                  <w:tcBorders>
                    <w:tl2br w:val="nil"/>
                    <w:tr2bl w:val="nil"/>
                  </w:tcBorders>
                  <w:shd w:val="clear" w:color="auto" w:fill="auto"/>
                  <w:vAlign w:val="center"/>
                </w:tcPr>
                <w:p w14:paraId="32EE3B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袋装</w:t>
                  </w:r>
                </w:p>
              </w:tc>
              <w:tc>
                <w:tcPr>
                  <w:tcW w:w="703" w:type="pct"/>
                  <w:tcBorders>
                    <w:tl2br w:val="nil"/>
                    <w:tr2bl w:val="nil"/>
                  </w:tcBorders>
                  <w:shd w:val="clear" w:color="auto" w:fill="auto"/>
                  <w:vAlign w:val="center"/>
                </w:tcPr>
                <w:p w14:paraId="7816842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highlight w:val="yellow"/>
                      <w:u w:val="none"/>
                      <w:lang w:val="en-US" w:eastAsia="zh-CN" w:bidi="ar"/>
                    </w:rPr>
                  </w:pPr>
                  <w:r>
                    <w:rPr>
                      <w:rFonts w:hint="eastAsia" w:ascii="仿宋" w:hAnsi="仿宋" w:eastAsia="仿宋" w:cs="仿宋"/>
                      <w:b w:val="0"/>
                      <w:bCs w:val="0"/>
                      <w:color w:val="000000"/>
                      <w:sz w:val="21"/>
                      <w:szCs w:val="21"/>
                      <w:lang w:val="en-US" w:eastAsia="zh-CN"/>
                    </w:rPr>
                    <w:t>原材料库</w:t>
                  </w:r>
                </w:p>
              </w:tc>
              <w:tc>
                <w:tcPr>
                  <w:tcW w:w="834" w:type="pct"/>
                  <w:tcBorders>
                    <w:tl2br w:val="nil"/>
                    <w:tr2bl w:val="nil"/>
                  </w:tcBorders>
                  <w:shd w:val="clear" w:color="auto" w:fill="auto"/>
                  <w:vAlign w:val="center"/>
                </w:tcPr>
                <w:p w14:paraId="68206A3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p>
              </w:tc>
            </w:tr>
            <w:tr w14:paraId="0ACBC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272" w:type="pct"/>
                  <w:vMerge w:val="continue"/>
                  <w:tcBorders>
                    <w:tl2br w:val="nil"/>
                    <w:tr2bl w:val="nil"/>
                  </w:tcBorders>
                  <w:shd w:val="clear" w:color="auto" w:fill="auto"/>
                  <w:vAlign w:val="center"/>
                </w:tcPr>
                <w:p w14:paraId="1D5FE35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p>
              </w:tc>
              <w:tc>
                <w:tcPr>
                  <w:tcW w:w="940" w:type="pct"/>
                  <w:tcBorders>
                    <w:tl2br w:val="nil"/>
                    <w:tr2bl w:val="nil"/>
                  </w:tcBorders>
                  <w:shd w:val="clear" w:color="auto" w:fill="auto"/>
                  <w:vAlign w:val="center"/>
                </w:tcPr>
                <w:p w14:paraId="6AF166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生物除臭剂</w:t>
                  </w:r>
                </w:p>
              </w:tc>
              <w:tc>
                <w:tcPr>
                  <w:tcW w:w="494" w:type="pct"/>
                  <w:tcBorders>
                    <w:tl2br w:val="nil"/>
                    <w:tr2bl w:val="nil"/>
                  </w:tcBorders>
                  <w:shd w:val="clear" w:color="auto" w:fill="auto"/>
                  <w:vAlign w:val="center"/>
                </w:tcPr>
                <w:p w14:paraId="100449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液态</w:t>
                  </w:r>
                </w:p>
              </w:tc>
              <w:tc>
                <w:tcPr>
                  <w:tcW w:w="645" w:type="pct"/>
                  <w:tcBorders>
                    <w:tl2br w:val="nil"/>
                    <w:tr2bl w:val="nil"/>
                  </w:tcBorders>
                  <w:shd w:val="clear" w:color="auto" w:fill="auto"/>
                  <w:vAlign w:val="center"/>
                </w:tcPr>
                <w:p w14:paraId="221B952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10</w:t>
                  </w:r>
                </w:p>
              </w:tc>
              <w:tc>
                <w:tcPr>
                  <w:tcW w:w="673" w:type="pct"/>
                  <w:tcBorders>
                    <w:tl2br w:val="nil"/>
                    <w:tr2bl w:val="nil"/>
                  </w:tcBorders>
                  <w:shd w:val="clear" w:color="auto" w:fill="auto"/>
                  <w:vAlign w:val="center"/>
                </w:tcPr>
                <w:p w14:paraId="0DF3DE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434" w:type="pct"/>
                  <w:tcBorders>
                    <w:tl2br w:val="nil"/>
                    <w:tr2bl w:val="nil"/>
                  </w:tcBorders>
                  <w:shd w:val="clear" w:color="auto" w:fill="auto"/>
                  <w:vAlign w:val="center"/>
                </w:tcPr>
                <w:p w14:paraId="187D6A3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桶装</w:t>
                  </w:r>
                </w:p>
              </w:tc>
              <w:tc>
                <w:tcPr>
                  <w:tcW w:w="703" w:type="pct"/>
                  <w:tcBorders>
                    <w:tl2br w:val="nil"/>
                    <w:tr2bl w:val="nil"/>
                  </w:tcBorders>
                  <w:shd w:val="clear" w:color="auto" w:fill="auto"/>
                  <w:vAlign w:val="center"/>
                </w:tcPr>
                <w:p w14:paraId="695FED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b w:val="0"/>
                      <w:bCs w:val="0"/>
                      <w:color w:val="000000"/>
                      <w:sz w:val="21"/>
                      <w:szCs w:val="21"/>
                      <w:lang w:val="en-US" w:eastAsia="zh-CN"/>
                    </w:rPr>
                    <w:t>原材料库</w:t>
                  </w:r>
                </w:p>
              </w:tc>
              <w:tc>
                <w:tcPr>
                  <w:tcW w:w="834" w:type="pct"/>
                  <w:tcBorders>
                    <w:tl2br w:val="nil"/>
                    <w:tr2bl w:val="nil"/>
                  </w:tcBorders>
                  <w:shd w:val="clear" w:color="auto" w:fill="auto"/>
                  <w:vAlign w:val="center"/>
                </w:tcPr>
                <w:p w14:paraId="6F2786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外购</w:t>
                  </w:r>
                </w:p>
              </w:tc>
            </w:tr>
            <w:tr w14:paraId="57916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72" w:type="pct"/>
                  <w:vMerge w:val="restart"/>
                  <w:tcBorders>
                    <w:tl2br w:val="nil"/>
                    <w:tr2bl w:val="nil"/>
                  </w:tcBorders>
                  <w:shd w:val="clear" w:color="auto" w:fill="auto"/>
                  <w:vAlign w:val="center"/>
                </w:tcPr>
                <w:p w14:paraId="694D2C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能源</w:t>
                  </w:r>
                </w:p>
              </w:tc>
              <w:tc>
                <w:tcPr>
                  <w:tcW w:w="940" w:type="pct"/>
                  <w:tcBorders>
                    <w:tl2br w:val="nil"/>
                    <w:tr2bl w:val="nil"/>
                  </w:tcBorders>
                  <w:shd w:val="clear" w:color="auto" w:fill="auto"/>
                  <w:vAlign w:val="center"/>
                </w:tcPr>
                <w:p w14:paraId="32BDB3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电（万kw.h/a）</w:t>
                  </w:r>
                </w:p>
              </w:tc>
              <w:tc>
                <w:tcPr>
                  <w:tcW w:w="494" w:type="pct"/>
                  <w:tcBorders>
                    <w:tl2br w:val="nil"/>
                    <w:tr2bl w:val="nil"/>
                  </w:tcBorders>
                  <w:shd w:val="clear" w:color="auto" w:fill="auto"/>
                  <w:vAlign w:val="center"/>
                </w:tcPr>
                <w:p w14:paraId="220270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5" w:type="pct"/>
                  <w:tcBorders>
                    <w:tl2br w:val="nil"/>
                    <w:tr2bl w:val="nil"/>
                  </w:tcBorders>
                  <w:shd w:val="clear" w:color="auto" w:fill="auto"/>
                  <w:vAlign w:val="center"/>
                </w:tcPr>
                <w:p w14:paraId="61DFEDD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100</w:t>
                  </w:r>
                </w:p>
              </w:tc>
              <w:tc>
                <w:tcPr>
                  <w:tcW w:w="673" w:type="pct"/>
                  <w:tcBorders>
                    <w:tl2br w:val="nil"/>
                    <w:tr2bl w:val="nil"/>
                  </w:tcBorders>
                  <w:shd w:val="clear" w:color="auto" w:fill="auto"/>
                  <w:vAlign w:val="center"/>
                </w:tcPr>
                <w:p w14:paraId="732AE0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434" w:type="pct"/>
                  <w:tcBorders>
                    <w:tl2br w:val="nil"/>
                    <w:tr2bl w:val="nil"/>
                  </w:tcBorders>
                  <w:shd w:val="clear" w:color="auto" w:fill="auto"/>
                  <w:vAlign w:val="center"/>
                </w:tcPr>
                <w:p w14:paraId="37DB90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03" w:type="pct"/>
                  <w:tcBorders>
                    <w:tl2br w:val="nil"/>
                    <w:tr2bl w:val="nil"/>
                  </w:tcBorders>
                  <w:shd w:val="clear" w:color="auto" w:fill="auto"/>
                  <w:vAlign w:val="center"/>
                </w:tcPr>
                <w:p w14:paraId="2F70882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当地电网</w:t>
                  </w:r>
                </w:p>
              </w:tc>
              <w:tc>
                <w:tcPr>
                  <w:tcW w:w="834" w:type="pct"/>
                  <w:tcBorders>
                    <w:tl2br w:val="nil"/>
                    <w:tr2bl w:val="nil"/>
                  </w:tcBorders>
                  <w:shd w:val="clear" w:color="auto" w:fill="auto"/>
                  <w:vAlign w:val="center"/>
                </w:tcPr>
                <w:p w14:paraId="65A869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r>
            <w:tr w14:paraId="7D8BB9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72" w:type="pct"/>
                  <w:vMerge w:val="continue"/>
                  <w:tcBorders>
                    <w:tl2br w:val="nil"/>
                    <w:tr2bl w:val="nil"/>
                  </w:tcBorders>
                  <w:shd w:val="clear" w:color="auto" w:fill="auto"/>
                  <w:vAlign w:val="center"/>
                </w:tcPr>
                <w:p w14:paraId="25A6D6E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rPr>
                  </w:pPr>
                </w:p>
              </w:tc>
              <w:tc>
                <w:tcPr>
                  <w:tcW w:w="940" w:type="pct"/>
                  <w:tcBorders>
                    <w:tl2br w:val="nil"/>
                    <w:tr2bl w:val="nil"/>
                  </w:tcBorders>
                  <w:shd w:val="clear" w:color="auto" w:fill="auto"/>
                  <w:vAlign w:val="center"/>
                </w:tcPr>
                <w:p w14:paraId="3C562E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水（m³/a）</w:t>
                  </w:r>
                </w:p>
              </w:tc>
              <w:tc>
                <w:tcPr>
                  <w:tcW w:w="494" w:type="pct"/>
                  <w:tcBorders>
                    <w:tl2br w:val="nil"/>
                    <w:tr2bl w:val="nil"/>
                  </w:tcBorders>
                  <w:shd w:val="clear" w:color="auto" w:fill="auto"/>
                  <w:vAlign w:val="center"/>
                </w:tcPr>
                <w:p w14:paraId="2FDE8D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5" w:type="pct"/>
                  <w:tcBorders>
                    <w:tl2br w:val="nil"/>
                    <w:tr2bl w:val="nil"/>
                  </w:tcBorders>
                  <w:shd w:val="clear" w:color="auto" w:fill="auto"/>
                  <w:vAlign w:val="center"/>
                </w:tcPr>
                <w:p w14:paraId="4FB745F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1683</w:t>
                  </w:r>
                </w:p>
              </w:tc>
              <w:tc>
                <w:tcPr>
                  <w:tcW w:w="673" w:type="pct"/>
                  <w:tcBorders>
                    <w:tl2br w:val="nil"/>
                    <w:tr2bl w:val="nil"/>
                  </w:tcBorders>
                  <w:shd w:val="clear" w:color="auto" w:fill="auto"/>
                  <w:vAlign w:val="center"/>
                </w:tcPr>
                <w:p w14:paraId="354191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434" w:type="pct"/>
                  <w:tcBorders>
                    <w:tl2br w:val="nil"/>
                    <w:tr2bl w:val="nil"/>
                  </w:tcBorders>
                  <w:shd w:val="clear" w:color="auto" w:fill="auto"/>
                  <w:vAlign w:val="center"/>
                </w:tcPr>
                <w:p w14:paraId="569B36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03" w:type="pct"/>
                  <w:tcBorders>
                    <w:tl2br w:val="nil"/>
                    <w:tr2bl w:val="nil"/>
                  </w:tcBorders>
                  <w:shd w:val="clear" w:color="auto" w:fill="auto"/>
                  <w:vAlign w:val="center"/>
                </w:tcPr>
                <w:p w14:paraId="033BC0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自来水厂</w:t>
                  </w:r>
                </w:p>
              </w:tc>
              <w:tc>
                <w:tcPr>
                  <w:tcW w:w="834" w:type="pct"/>
                  <w:tcBorders>
                    <w:tl2br w:val="nil"/>
                    <w:tr2bl w:val="nil"/>
                  </w:tcBorders>
                  <w:shd w:val="clear" w:color="auto" w:fill="auto"/>
                  <w:vAlign w:val="center"/>
                </w:tcPr>
                <w:p w14:paraId="58601F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r>
          </w:tbl>
          <w:p w14:paraId="0D5B8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表2-7  本项目主要原辅材料理化性质</w:t>
            </w:r>
          </w:p>
          <w:tbl>
            <w:tblPr>
              <w:tblStyle w:val="95"/>
              <w:tblW w:w="8607" w:type="dxa"/>
              <w:tblInd w:w="7"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21"/>
              <w:gridCol w:w="7186"/>
            </w:tblGrid>
            <w:tr w14:paraId="68CCB2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421" w:type="dxa"/>
                  <w:tcBorders>
                    <w:tl2br w:val="nil"/>
                    <w:tr2bl w:val="nil"/>
                  </w:tcBorders>
                  <w:vAlign w:val="center"/>
                </w:tcPr>
                <w:p w14:paraId="1572DBC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3"/>
                      <w:sz w:val="20"/>
                      <w:szCs w:val="20"/>
                    </w:rPr>
                    <w:t>名称</w:t>
                  </w:r>
                </w:p>
              </w:tc>
              <w:tc>
                <w:tcPr>
                  <w:tcW w:w="7186" w:type="dxa"/>
                  <w:tcBorders>
                    <w:tl2br w:val="nil"/>
                    <w:tr2bl w:val="nil"/>
                  </w:tcBorders>
                  <w:vAlign w:val="center"/>
                </w:tcPr>
                <w:p w14:paraId="78562951">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6"/>
                      <w:sz w:val="20"/>
                      <w:szCs w:val="20"/>
                    </w:rPr>
                    <w:t>理化性质</w:t>
                  </w:r>
                </w:p>
              </w:tc>
            </w:tr>
            <w:tr w14:paraId="4E04B9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421" w:type="dxa"/>
                  <w:tcBorders>
                    <w:tl2br w:val="nil"/>
                    <w:tr2bl w:val="nil"/>
                  </w:tcBorders>
                  <w:vAlign w:val="center"/>
                </w:tcPr>
                <w:p w14:paraId="5510B98A">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7"/>
                      <w:sz w:val="20"/>
                      <w:szCs w:val="20"/>
                    </w:rPr>
                    <w:t>复合发酵菌</w:t>
                  </w:r>
                  <w:r>
                    <w:rPr>
                      <w:rFonts w:hint="eastAsia" w:ascii="仿宋" w:hAnsi="仿宋" w:eastAsia="仿宋" w:cs="仿宋"/>
                      <w:sz w:val="20"/>
                      <w:szCs w:val="20"/>
                    </w:rPr>
                    <w:t>剂</w:t>
                  </w:r>
                </w:p>
              </w:tc>
              <w:tc>
                <w:tcPr>
                  <w:tcW w:w="7186" w:type="dxa"/>
                  <w:tcBorders>
                    <w:tl2br w:val="nil"/>
                    <w:tr2bl w:val="nil"/>
                  </w:tcBorders>
                  <w:vAlign w:val="center"/>
                </w:tcPr>
                <w:p w14:paraId="32EA3C76">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 w:hAnsi="仿宋" w:eastAsia="仿宋" w:cs="仿宋"/>
                      <w:sz w:val="20"/>
                      <w:szCs w:val="20"/>
                    </w:rPr>
                  </w:pPr>
                  <w:r>
                    <w:rPr>
                      <w:rFonts w:hint="eastAsia" w:ascii="仿宋" w:hAnsi="仿宋" w:eastAsia="仿宋" w:cs="仿宋"/>
                      <w:spacing w:val="9"/>
                      <w:sz w:val="20"/>
                      <w:szCs w:val="20"/>
                    </w:rPr>
                    <w:t>含有高浓度的非致病性有益微生物，并添加了能够分解各种大分子物质的多种酶。该产品中的微生物能够在堆肥过程中产生消化酶来分解发酵堆肥中的有机质。在堆肥过程中添加本浓缩产品以补充原始菌种，并加强对有机质的分解以便利用城市垃圾、废水污泥、固体废物生产腐殖质堆肥。</w:t>
                  </w:r>
                </w:p>
              </w:tc>
            </w:tr>
            <w:tr w14:paraId="757750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421" w:type="dxa"/>
                  <w:tcBorders>
                    <w:tl2br w:val="nil"/>
                    <w:tr2bl w:val="nil"/>
                  </w:tcBorders>
                  <w:vAlign w:val="center"/>
                </w:tcPr>
                <w:p w14:paraId="016B267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8"/>
                      <w:sz w:val="20"/>
                      <w:szCs w:val="20"/>
                    </w:rPr>
                    <w:t>城市生活污</w:t>
                  </w:r>
                  <w:r>
                    <w:rPr>
                      <w:rFonts w:hint="eastAsia" w:ascii="仿宋" w:hAnsi="仿宋" w:eastAsia="仿宋" w:cs="仿宋"/>
                      <w:sz w:val="20"/>
                      <w:szCs w:val="20"/>
                    </w:rPr>
                    <w:t>泥</w:t>
                  </w:r>
                </w:p>
              </w:tc>
              <w:tc>
                <w:tcPr>
                  <w:tcW w:w="7186" w:type="dxa"/>
                  <w:tcBorders>
                    <w:tl2br w:val="nil"/>
                    <w:tr2bl w:val="nil"/>
                  </w:tcBorders>
                  <w:vAlign w:val="center"/>
                </w:tcPr>
                <w:p w14:paraId="1D3ED011">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 w:hAnsi="仿宋" w:eastAsia="仿宋" w:cs="仿宋"/>
                      <w:sz w:val="20"/>
                      <w:szCs w:val="20"/>
                    </w:rPr>
                  </w:pPr>
                  <w:r>
                    <w:rPr>
                      <w:rFonts w:hint="eastAsia" w:ascii="仿宋" w:hAnsi="仿宋" w:eastAsia="仿宋" w:cs="仿宋"/>
                      <w:spacing w:val="5"/>
                      <w:sz w:val="20"/>
                      <w:szCs w:val="20"/>
                    </w:rPr>
                    <w:t>一般来源于生活污水处理厂废水处理压滤后的生活污泥，含有丰富的碳、氢、</w:t>
                  </w:r>
                  <w:r>
                    <w:rPr>
                      <w:rFonts w:hint="eastAsia" w:ascii="仿宋" w:hAnsi="仿宋" w:eastAsia="仿宋" w:cs="仿宋"/>
                      <w:spacing w:val="9"/>
                      <w:sz w:val="20"/>
                      <w:szCs w:val="20"/>
                    </w:rPr>
                    <w:t>氮、磷等营养元素及蛋白等有机质，该污泥不含超标的重金属元素，主要成分为氧化硅及氧化钙。项目接收的污水处理污泥，根据环境保护部《关于污</w:t>
                  </w:r>
                  <w:r>
                    <w:rPr>
                      <w:rFonts w:hint="eastAsia" w:ascii="仿宋" w:hAnsi="仿宋" w:eastAsia="仿宋" w:cs="仿宋"/>
                      <w:spacing w:val="6"/>
                      <w:sz w:val="20"/>
                      <w:szCs w:val="20"/>
                    </w:rPr>
                    <w:t>（废）水处理设施产生污泥危险特性鉴别有关意见的函》（环函【2</w:t>
                  </w:r>
                  <w:r>
                    <w:rPr>
                      <w:rFonts w:hint="eastAsia" w:ascii="仿宋" w:hAnsi="仿宋" w:eastAsia="仿宋" w:cs="仿宋"/>
                      <w:spacing w:val="5"/>
                      <w:sz w:val="20"/>
                      <w:szCs w:val="20"/>
                    </w:rPr>
                    <w:t>010】129</w:t>
                  </w:r>
                  <w:r>
                    <w:rPr>
                      <w:rFonts w:hint="eastAsia" w:ascii="仿宋" w:hAnsi="仿宋" w:eastAsia="仿宋" w:cs="仿宋"/>
                      <w:spacing w:val="9"/>
                      <w:sz w:val="20"/>
                      <w:szCs w:val="20"/>
                    </w:rPr>
                    <w:t>号）文件，污泥为一般固体废物。污泥成分较为稳定，可以综合利用，含水</w:t>
                  </w:r>
                  <w:r>
                    <w:rPr>
                      <w:rFonts w:hint="eastAsia" w:ascii="仿宋" w:hAnsi="仿宋" w:eastAsia="仿宋" w:cs="仿宋"/>
                      <w:spacing w:val="8"/>
                      <w:sz w:val="20"/>
                      <w:szCs w:val="20"/>
                    </w:rPr>
                    <w:t>率约为70%。企业不得收入工业污水处理厂污</w:t>
                  </w:r>
                  <w:r>
                    <w:rPr>
                      <w:rFonts w:hint="eastAsia" w:ascii="仿宋" w:hAnsi="仿宋" w:eastAsia="仿宋" w:cs="仿宋"/>
                      <w:spacing w:val="7"/>
                      <w:sz w:val="20"/>
                      <w:szCs w:val="20"/>
                    </w:rPr>
                    <w:t>泥及来路不明，浓度超标的污</w:t>
                  </w:r>
                  <w:r>
                    <w:rPr>
                      <w:rFonts w:hint="eastAsia" w:ascii="仿宋" w:hAnsi="仿宋" w:eastAsia="仿宋" w:cs="仿宋"/>
                      <w:spacing w:val="6"/>
                      <w:sz w:val="20"/>
                      <w:szCs w:val="20"/>
                    </w:rPr>
                    <w:t>泥。生活污泥中粗纤维含量约3-5%，有机碎片含量约14-16%，无机盐含量</w:t>
                  </w:r>
                  <w:r>
                    <w:rPr>
                      <w:rFonts w:hint="eastAsia" w:ascii="仿宋" w:hAnsi="仿宋" w:eastAsia="仿宋" w:cs="仿宋"/>
                      <w:spacing w:val="3"/>
                      <w:sz w:val="20"/>
                      <w:szCs w:val="20"/>
                    </w:rPr>
                    <w:t>约8-10%，土壤含量约12-14%，含水量约70%。</w:t>
                  </w:r>
                </w:p>
              </w:tc>
            </w:tr>
            <w:tr w14:paraId="61A4E9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421" w:type="dxa"/>
                  <w:tcBorders>
                    <w:tl2br w:val="nil"/>
                    <w:tr2bl w:val="nil"/>
                  </w:tcBorders>
                  <w:vAlign w:val="center"/>
                </w:tcPr>
                <w:p w14:paraId="7DBEF98E">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4"/>
                      <w:sz w:val="20"/>
                      <w:szCs w:val="20"/>
                    </w:rPr>
                    <w:t>秸秆</w:t>
                  </w:r>
                </w:p>
              </w:tc>
              <w:tc>
                <w:tcPr>
                  <w:tcW w:w="7186" w:type="dxa"/>
                  <w:tcBorders>
                    <w:tl2br w:val="nil"/>
                    <w:tr2bl w:val="nil"/>
                  </w:tcBorders>
                  <w:vAlign w:val="center"/>
                </w:tcPr>
                <w:p w14:paraId="11A94103">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 w:hAnsi="仿宋" w:eastAsia="仿宋" w:cs="仿宋"/>
                      <w:sz w:val="20"/>
                      <w:szCs w:val="20"/>
                    </w:rPr>
                  </w:pPr>
                  <w:r>
                    <w:rPr>
                      <w:rFonts w:hint="eastAsia" w:ascii="仿宋" w:hAnsi="仿宋" w:eastAsia="仿宋" w:cs="仿宋"/>
                      <w:spacing w:val="9"/>
                      <w:sz w:val="20"/>
                      <w:szCs w:val="20"/>
                    </w:rPr>
                    <w:t>主要来是成熟农作物茎叶（穗）部分的总称。通常指小麦、水稻、玉米、薯</w:t>
                  </w:r>
                  <w:r>
                    <w:rPr>
                      <w:rFonts w:hint="eastAsia" w:ascii="仿宋" w:hAnsi="仿宋" w:eastAsia="仿宋" w:cs="仿宋"/>
                      <w:spacing w:val="11"/>
                      <w:sz w:val="20"/>
                      <w:szCs w:val="20"/>
                    </w:rPr>
                    <w:t>类、油菜、棉花、甘蔗和其它农作物（通常为粗粮）在收获籽实</w:t>
                  </w:r>
                  <w:r>
                    <w:rPr>
                      <w:rFonts w:hint="eastAsia" w:ascii="仿宋" w:hAnsi="仿宋" w:eastAsia="仿宋" w:cs="仿宋"/>
                      <w:spacing w:val="10"/>
                      <w:sz w:val="20"/>
                      <w:szCs w:val="20"/>
                    </w:rPr>
                    <w:t>后的剩余部分。农作物光合作用的产物有一半以上存</w:t>
                  </w:r>
                  <w:r>
                    <w:rPr>
                      <w:rFonts w:hint="eastAsia" w:ascii="仿宋" w:hAnsi="仿宋" w:eastAsia="仿宋" w:cs="仿宋"/>
                      <w:spacing w:val="9"/>
                      <w:sz w:val="20"/>
                      <w:szCs w:val="20"/>
                    </w:rPr>
                    <w:t>在于秸秆中，秸秆富含氮、磷、</w:t>
                  </w:r>
                  <w:r>
                    <w:rPr>
                      <w:rFonts w:hint="eastAsia" w:ascii="仿宋" w:hAnsi="仿宋" w:eastAsia="仿宋" w:cs="仿宋"/>
                      <w:spacing w:val="11"/>
                      <w:sz w:val="20"/>
                      <w:szCs w:val="20"/>
                    </w:rPr>
                    <w:t>钾、钙、镁和有机质等，是一种具有多用途的可再生的生物资源</w:t>
                  </w:r>
                  <w:r>
                    <w:rPr>
                      <w:rFonts w:hint="eastAsia" w:ascii="仿宋" w:hAnsi="仿宋" w:eastAsia="仿宋" w:cs="仿宋"/>
                      <w:spacing w:val="10"/>
                      <w:sz w:val="20"/>
                      <w:szCs w:val="20"/>
                    </w:rPr>
                    <w:t>，秸秆也</w:t>
                  </w:r>
                  <w:r>
                    <w:rPr>
                      <w:rFonts w:hint="eastAsia" w:ascii="仿宋" w:hAnsi="仿宋" w:eastAsia="仿宋" w:cs="仿宋"/>
                      <w:spacing w:val="7"/>
                      <w:sz w:val="20"/>
                      <w:szCs w:val="20"/>
                    </w:rPr>
                    <w:t>是一种粗饲料。2-4%特点是粗纤维含量高（30%-40%</w:t>
                  </w:r>
                  <w:r>
                    <w:rPr>
                      <w:rFonts w:hint="eastAsia" w:ascii="仿宋" w:hAnsi="仿宋" w:eastAsia="仿宋" w:cs="仿宋"/>
                      <w:spacing w:val="17"/>
                      <w:sz w:val="20"/>
                      <w:szCs w:val="20"/>
                    </w:rPr>
                    <w:t>），</w:t>
                  </w:r>
                  <w:r>
                    <w:rPr>
                      <w:rFonts w:hint="eastAsia" w:ascii="仿宋" w:hAnsi="仿宋" w:eastAsia="仿宋" w:cs="仿宋"/>
                      <w:spacing w:val="7"/>
                      <w:sz w:val="20"/>
                      <w:szCs w:val="20"/>
                    </w:rPr>
                    <w:t>并含有木</w:t>
                  </w:r>
                  <w:r>
                    <w:rPr>
                      <w:rFonts w:hint="eastAsia" w:ascii="仿宋" w:hAnsi="仿宋" w:eastAsia="仿宋" w:cs="仿宋"/>
                      <w:spacing w:val="6"/>
                      <w:sz w:val="20"/>
                      <w:szCs w:val="20"/>
                    </w:rPr>
                    <w:t>质素等。</w:t>
                  </w:r>
                </w:p>
              </w:tc>
            </w:tr>
            <w:tr w14:paraId="12CDEE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421" w:type="dxa"/>
                  <w:tcBorders>
                    <w:tl2br w:val="nil"/>
                    <w:tr2bl w:val="nil"/>
                  </w:tcBorders>
                  <w:vAlign w:val="center"/>
                </w:tcPr>
                <w:p w14:paraId="0DBBFF8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0"/>
                      <w:szCs w:val="20"/>
                    </w:rPr>
                  </w:pPr>
                  <w:r>
                    <w:rPr>
                      <w:rFonts w:hint="eastAsia" w:ascii="仿宋" w:hAnsi="仿宋" w:eastAsia="仿宋" w:cs="仿宋"/>
                      <w:spacing w:val="7"/>
                      <w:sz w:val="20"/>
                      <w:szCs w:val="20"/>
                    </w:rPr>
                    <w:t>生物抑制剂</w:t>
                  </w:r>
                  <w:r>
                    <w:rPr>
                      <w:rFonts w:hint="eastAsia" w:ascii="仿宋" w:hAnsi="仿宋" w:eastAsia="仿宋" w:cs="仿宋"/>
                      <w:spacing w:val="3"/>
                      <w:sz w:val="20"/>
                      <w:szCs w:val="20"/>
                    </w:rPr>
                    <w:t>（除臭剂）</w:t>
                  </w:r>
                </w:p>
              </w:tc>
              <w:tc>
                <w:tcPr>
                  <w:tcW w:w="7186" w:type="dxa"/>
                  <w:tcBorders>
                    <w:tl2br w:val="nil"/>
                    <w:tr2bl w:val="nil"/>
                  </w:tcBorders>
                  <w:vAlign w:val="center"/>
                </w:tcPr>
                <w:p w14:paraId="0665FAB3">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 w:hAnsi="仿宋" w:eastAsia="仿宋" w:cs="仿宋"/>
                      <w:sz w:val="20"/>
                      <w:szCs w:val="20"/>
                    </w:rPr>
                  </w:pPr>
                  <w:r>
                    <w:rPr>
                      <w:rFonts w:hint="eastAsia" w:ascii="仿宋" w:hAnsi="仿宋" w:eastAsia="仿宋" w:cs="仿宋"/>
                      <w:spacing w:val="10"/>
                      <w:sz w:val="20"/>
                      <w:szCs w:val="20"/>
                    </w:rPr>
                    <w:t>微生物除臭剂是遵循微生态工程原理，在充分</w:t>
                  </w:r>
                  <w:r>
                    <w:rPr>
                      <w:rFonts w:hint="eastAsia" w:ascii="仿宋" w:hAnsi="仿宋" w:eastAsia="仿宋" w:cs="仿宋"/>
                      <w:spacing w:val="9"/>
                      <w:sz w:val="20"/>
                      <w:szCs w:val="20"/>
                    </w:rPr>
                    <w:t>借鉴国外先进复合微生物技术的基础上，采用微生态工程技术，运用现代生物技术生产，由多种不同性</w:t>
                  </w:r>
                  <w:r>
                    <w:rPr>
                      <w:rFonts w:hint="eastAsia" w:ascii="仿宋" w:hAnsi="仿宋" w:eastAsia="仿宋" w:cs="仿宋"/>
                      <w:spacing w:val="13"/>
                      <w:sz w:val="20"/>
                      <w:szCs w:val="20"/>
                    </w:rPr>
                    <w:t>质的有益微生物共同组成新型生物除臭剂。微生物除臭剂</w:t>
                  </w:r>
                  <w:r>
                    <w:rPr>
                      <w:rFonts w:hint="eastAsia" w:ascii="仿宋" w:hAnsi="仿宋" w:eastAsia="仿宋" w:cs="仿宋"/>
                      <w:spacing w:val="12"/>
                      <w:sz w:val="20"/>
                      <w:szCs w:val="20"/>
                    </w:rPr>
                    <w:t>能有效去除硫化</w:t>
                  </w:r>
                  <w:r>
                    <w:rPr>
                      <w:rFonts w:hint="eastAsia" w:ascii="仿宋" w:hAnsi="仿宋" w:eastAsia="仿宋" w:cs="仿宋"/>
                      <w:spacing w:val="9"/>
                      <w:sz w:val="20"/>
                      <w:szCs w:val="20"/>
                    </w:rPr>
                    <w:t>氢、氨气等恶臭气体，对人体和动植物无任何毒副作用，对环境不产生任何污染。微生物除臭剂含有多种分解能力强的菌株，各个菌株之间存在共生关系，形成一个功能群体，有益微生物有效抑制腐败菌的腐败分解而转向发酵</w:t>
                  </w:r>
                  <w:r>
                    <w:rPr>
                      <w:rFonts w:hint="eastAsia" w:ascii="仿宋" w:hAnsi="仿宋" w:eastAsia="仿宋" w:cs="仿宋"/>
                      <w:spacing w:val="6"/>
                      <w:sz w:val="20"/>
                      <w:szCs w:val="20"/>
                    </w:rPr>
                    <w:t>分解，产生的有机酸类物质能对N、S氧化物进行降解（分</w:t>
                  </w:r>
                  <w:r>
                    <w:rPr>
                      <w:rFonts w:hint="eastAsia" w:ascii="仿宋" w:hAnsi="仿宋" w:eastAsia="仿宋" w:cs="仿宋"/>
                      <w:spacing w:val="5"/>
                      <w:sz w:val="20"/>
                      <w:szCs w:val="20"/>
                    </w:rPr>
                    <w:t>解）吸收和固定。</w:t>
                  </w:r>
                </w:p>
              </w:tc>
            </w:tr>
          </w:tbl>
          <w:p w14:paraId="2D607ADC">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78" w:firstLineChars="200"/>
              <w:textAlignment w:val="auto"/>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rPr>
              <w:t>污泥</w:t>
            </w:r>
            <w:r>
              <w:rPr>
                <w:rFonts w:hint="eastAsia" w:ascii="仿宋" w:hAnsi="仿宋" w:eastAsia="仿宋" w:cs="仿宋"/>
                <w:b/>
                <w:bCs/>
                <w:spacing w:val="-1"/>
                <w:sz w:val="24"/>
                <w:szCs w:val="24"/>
                <w:lang w:eastAsia="zh-CN"/>
              </w:rPr>
              <w:t>来源及控制：</w:t>
            </w:r>
          </w:p>
          <w:p w14:paraId="71F3EB68">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eastAsia" w:ascii="仿宋" w:hAnsi="仿宋" w:eastAsia="仿宋" w:cs="仿宋"/>
                <w:spacing w:val="-1"/>
                <w:sz w:val="24"/>
                <w:szCs w:val="24"/>
                <w:lang w:eastAsia="zh-CN"/>
              </w:rPr>
            </w:pPr>
            <w:r>
              <w:rPr>
                <w:rFonts w:hint="eastAsia" w:ascii="仿宋" w:hAnsi="仿宋" w:eastAsia="仿宋" w:cs="仿宋"/>
                <w:spacing w:val="-1"/>
                <w:sz w:val="24"/>
                <w:szCs w:val="24"/>
              </w:rPr>
              <w:t>主要为</w:t>
            </w:r>
            <w:r>
              <w:rPr>
                <w:rFonts w:hint="eastAsia" w:ascii="仿宋" w:hAnsi="仿宋" w:eastAsia="仿宋" w:cs="仿宋"/>
                <w:spacing w:val="-1"/>
                <w:sz w:val="24"/>
                <w:szCs w:val="24"/>
                <w:lang w:eastAsia="zh-CN"/>
              </w:rPr>
              <w:t>淮南</w:t>
            </w:r>
            <w:r>
              <w:rPr>
                <w:rFonts w:hint="eastAsia" w:ascii="仿宋" w:hAnsi="仿宋" w:eastAsia="仿宋" w:cs="仿宋"/>
                <w:spacing w:val="-1"/>
                <w:sz w:val="24"/>
                <w:szCs w:val="24"/>
              </w:rPr>
              <w:t>地区</w:t>
            </w:r>
            <w:r>
              <w:rPr>
                <w:rFonts w:hint="eastAsia" w:ascii="仿宋" w:hAnsi="仿宋" w:eastAsia="仿宋" w:cs="仿宋"/>
                <w:spacing w:val="-1"/>
                <w:sz w:val="24"/>
                <w:szCs w:val="24"/>
                <w:lang w:eastAsia="zh-CN"/>
              </w:rPr>
              <w:t>及周边</w:t>
            </w:r>
            <w:r>
              <w:rPr>
                <w:rFonts w:hint="eastAsia" w:ascii="仿宋" w:hAnsi="仿宋" w:eastAsia="仿宋" w:cs="仿宋"/>
                <w:spacing w:val="-1"/>
                <w:sz w:val="24"/>
                <w:szCs w:val="24"/>
              </w:rPr>
              <w:t>城镇污水处理厂产生的一般固废污泥，</w:t>
            </w:r>
            <w:r>
              <w:rPr>
                <w:rFonts w:hint="eastAsia" w:ascii="仿宋" w:hAnsi="仿宋" w:eastAsia="仿宋" w:cs="仿宋"/>
                <w:spacing w:val="-1"/>
                <w:sz w:val="24"/>
                <w:szCs w:val="24"/>
                <w:lang w:eastAsia="zh-CN"/>
              </w:rPr>
              <w:t>废物种类为SW90</w:t>
            </w:r>
          </w:p>
          <w:p w14:paraId="06D983CD">
            <w:pPr>
              <w:pStyle w:val="136"/>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pacing w:val="-1"/>
                <w:sz w:val="24"/>
                <w:szCs w:val="24"/>
                <w:lang w:eastAsia="zh-CN"/>
              </w:rPr>
              <w:t>城镇污水污泥，废物代码为462-001-S90，</w:t>
            </w:r>
            <w:r>
              <w:rPr>
                <w:rFonts w:hint="eastAsia" w:ascii="仿宋" w:hAnsi="仿宋" w:eastAsia="仿宋" w:cs="仿宋"/>
                <w:spacing w:val="-1"/>
                <w:sz w:val="24"/>
                <w:szCs w:val="24"/>
              </w:rPr>
              <w:t>污泥中相关污染物指标均能符合《城镇污水处理厂污泥处置园林绿化用泥质》</w:t>
            </w:r>
            <w:r>
              <w:rPr>
                <w:rFonts w:hint="eastAsia" w:ascii="仿宋" w:hAnsi="仿宋" w:eastAsia="仿宋" w:cs="仿宋"/>
                <w:sz w:val="24"/>
                <w:szCs w:val="24"/>
              </w:rPr>
              <w:t>（GB/T23486-2009）中的限值要求，可以用于园林绿化等</w:t>
            </w:r>
            <w:r>
              <w:rPr>
                <w:rFonts w:hint="eastAsia" w:ascii="仿宋" w:hAnsi="仿宋" w:eastAsia="仿宋" w:cs="仿宋"/>
                <w:spacing w:val="-1"/>
                <w:sz w:val="24"/>
                <w:szCs w:val="24"/>
              </w:rPr>
              <w:t>用途。</w:t>
            </w:r>
          </w:p>
          <w:p w14:paraId="7E7EAA68">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同时，本环评提出如下污泥来料控制要求：</w:t>
            </w:r>
          </w:p>
          <w:p w14:paraId="118F2D16">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①</w:t>
            </w:r>
            <w:r>
              <w:rPr>
                <w:rFonts w:hint="eastAsia" w:ascii="仿宋" w:hAnsi="仿宋" w:eastAsia="仿宋" w:cs="仿宋"/>
                <w:spacing w:val="-1"/>
                <w:sz w:val="24"/>
                <w:szCs w:val="24"/>
                <w:lang w:eastAsia="zh-CN"/>
              </w:rPr>
              <w:t>参考</w:t>
            </w:r>
            <w:r>
              <w:rPr>
                <w:rFonts w:hint="eastAsia" w:ascii="仿宋" w:hAnsi="仿宋" w:eastAsia="仿宋" w:cs="仿宋"/>
                <w:spacing w:val="-1"/>
                <w:sz w:val="24"/>
                <w:szCs w:val="24"/>
              </w:rPr>
              <w:t>《污泥土地利用技术规范》（DB33/</w:t>
            </w:r>
            <w:r>
              <w:rPr>
                <w:rFonts w:hint="eastAsia" w:ascii="仿宋" w:hAnsi="仿宋" w:eastAsia="仿宋" w:cs="仿宋"/>
                <w:spacing w:val="-2"/>
                <w:sz w:val="24"/>
                <w:szCs w:val="24"/>
              </w:rPr>
              <w:t>T891-2013</w:t>
            </w:r>
            <w:r>
              <w:rPr>
                <w:rFonts w:hint="eastAsia" w:ascii="仿宋" w:hAnsi="仿宋" w:eastAsia="仿宋" w:cs="仿宋"/>
                <w:spacing w:val="-6"/>
                <w:sz w:val="24"/>
                <w:szCs w:val="24"/>
              </w:rPr>
              <w:t>），</w:t>
            </w:r>
            <w:r>
              <w:rPr>
                <w:rFonts w:hint="eastAsia" w:ascii="仿宋" w:hAnsi="仿宋" w:eastAsia="仿宋" w:cs="仿宋"/>
                <w:spacing w:val="-2"/>
                <w:sz w:val="24"/>
                <w:szCs w:val="24"/>
              </w:rPr>
              <w:t>本项目使用的污泥来源应</w:t>
            </w:r>
            <w:r>
              <w:rPr>
                <w:rFonts w:hint="eastAsia" w:ascii="仿宋" w:hAnsi="仿宋" w:eastAsia="仿宋" w:cs="仿宋"/>
                <w:sz w:val="24"/>
                <w:szCs w:val="24"/>
              </w:rPr>
              <w:t>为无制药、化工、印染、制革和其它涉重金属污染物排放企业的城镇集中式生活污水处理厂产</w:t>
            </w:r>
            <w:r>
              <w:rPr>
                <w:rFonts w:hint="eastAsia" w:ascii="仿宋" w:hAnsi="仿宋" w:eastAsia="仿宋" w:cs="仿宋"/>
                <w:spacing w:val="-1"/>
                <w:sz w:val="24"/>
                <w:szCs w:val="24"/>
              </w:rPr>
              <w:t>生的污泥，食品加工行业和造纸行业的废水处理设施及其园区集中式污水处理厂产生的污泥，</w:t>
            </w:r>
            <w:r>
              <w:rPr>
                <w:rFonts w:hint="eastAsia" w:ascii="仿宋" w:hAnsi="仿宋" w:eastAsia="仿宋" w:cs="仿宋"/>
                <w:sz w:val="24"/>
                <w:szCs w:val="24"/>
              </w:rPr>
              <w:t>且污泥泥质需符合《城镇污水处理厂污泥处置园林绿</w:t>
            </w:r>
            <w:r>
              <w:rPr>
                <w:rFonts w:hint="eastAsia" w:ascii="仿宋" w:hAnsi="仿宋" w:eastAsia="仿宋" w:cs="仿宋"/>
                <w:spacing w:val="-1"/>
                <w:sz w:val="24"/>
                <w:szCs w:val="24"/>
              </w:rPr>
              <w:t>化用泥质》（GB/T23486-2009）要求。</w:t>
            </w:r>
          </w:p>
          <w:p w14:paraId="27630352">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84"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②严禁使用属性为危险废物的污泥，严禁使用来自</w:t>
            </w:r>
            <w:r>
              <w:rPr>
                <w:rFonts w:hint="eastAsia" w:ascii="仿宋" w:hAnsi="仿宋" w:eastAsia="仿宋" w:cs="仿宋"/>
                <w:sz w:val="24"/>
                <w:szCs w:val="24"/>
              </w:rPr>
              <w:t>制药、化工、印染、制革等企业的废水</w:t>
            </w:r>
            <w:r>
              <w:rPr>
                <w:rFonts w:hint="eastAsia" w:ascii="仿宋" w:hAnsi="仿宋" w:eastAsia="仿宋" w:cs="仿宋"/>
                <w:spacing w:val="-1"/>
                <w:sz w:val="24"/>
                <w:szCs w:val="24"/>
              </w:rPr>
              <w:t>处理污泥，同时所收集的污泥中不得混入浮渣、沉渣。</w:t>
            </w:r>
          </w:p>
          <w:p w14:paraId="6EA36055">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84"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③委托污泥来源企业和本企业共同认可的第</w:t>
            </w:r>
            <w:r>
              <w:rPr>
                <w:rFonts w:hint="eastAsia" w:ascii="仿宋" w:hAnsi="仿宋" w:eastAsia="仿宋" w:cs="仿宋"/>
                <w:sz w:val="24"/>
                <w:szCs w:val="24"/>
              </w:rPr>
              <w:t>三方有运输资质的企业承担污泥运输工作，加强运输车辆密闭，严禁遗撒泄漏、随意转运、倾倒、违法堆放</w:t>
            </w:r>
            <w:r>
              <w:rPr>
                <w:rFonts w:hint="eastAsia" w:ascii="仿宋" w:hAnsi="仿宋" w:eastAsia="仿宋" w:cs="仿宋"/>
                <w:spacing w:val="-1"/>
                <w:sz w:val="24"/>
                <w:szCs w:val="24"/>
              </w:rPr>
              <w:t>等污染环境的行为发生。</w:t>
            </w:r>
          </w:p>
          <w:p w14:paraId="057636D7">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84" w:firstLineChars="200"/>
              <w:textAlignment w:val="auto"/>
              <w:rPr>
                <w:rFonts w:hint="eastAsia" w:ascii="仿宋" w:hAnsi="仿宋" w:eastAsia="仿宋" w:cs="仿宋"/>
                <w:sz w:val="24"/>
                <w:szCs w:val="24"/>
              </w:rPr>
            </w:pPr>
            <w:r>
              <w:rPr>
                <w:rFonts w:hint="eastAsia" w:ascii="仿宋" w:hAnsi="仿宋" w:eastAsia="仿宋" w:cs="仿宋"/>
                <w:spacing w:val="1"/>
                <w:sz w:val="24"/>
                <w:szCs w:val="24"/>
              </w:rPr>
              <w:t>④</w:t>
            </w:r>
            <w:r>
              <w:rPr>
                <w:rFonts w:hint="eastAsia" w:ascii="仿宋" w:hAnsi="仿宋" w:eastAsia="仿宋" w:cs="仿宋"/>
                <w:sz w:val="24"/>
                <w:szCs w:val="24"/>
              </w:rPr>
              <w:t>严格控制进厂污泥含水率（要求以70%为上限</w:t>
            </w:r>
            <w:r>
              <w:rPr>
                <w:rFonts w:hint="eastAsia" w:ascii="仿宋" w:hAnsi="仿宋" w:eastAsia="仿宋" w:cs="仿宋"/>
                <w:spacing w:val="1"/>
                <w:sz w:val="24"/>
                <w:szCs w:val="24"/>
              </w:rPr>
              <w:t>），</w:t>
            </w:r>
            <w:r>
              <w:rPr>
                <w:rFonts w:hint="eastAsia" w:ascii="仿宋" w:hAnsi="仿宋" w:eastAsia="仿宋" w:cs="仿宋"/>
                <w:sz w:val="24"/>
                <w:szCs w:val="24"/>
              </w:rPr>
              <w:t>从源</w:t>
            </w:r>
            <w:r>
              <w:rPr>
                <w:rFonts w:hint="eastAsia" w:ascii="仿宋" w:hAnsi="仿宋" w:eastAsia="仿宋" w:cs="仿宋"/>
                <w:spacing w:val="-1"/>
                <w:sz w:val="24"/>
                <w:szCs w:val="24"/>
              </w:rPr>
              <w:t>头杜绝或减少渗滤液的产生，防止发生跑冒滴漏现象。</w:t>
            </w:r>
          </w:p>
          <w:p w14:paraId="068C9A78">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⑤</w:t>
            </w:r>
            <w:r>
              <w:rPr>
                <w:rFonts w:hint="eastAsia" w:ascii="仿宋" w:hAnsi="仿宋" w:eastAsia="仿宋" w:cs="仿宋"/>
                <w:spacing w:val="-2"/>
                <w:sz w:val="24"/>
                <w:szCs w:val="24"/>
              </w:rPr>
              <w:t>定期收集污泥来源企业提供的由有资质单位出具的泥质检测报告（要求1次/月</w:t>
            </w:r>
            <w:r>
              <w:rPr>
                <w:rFonts w:hint="eastAsia" w:ascii="仿宋" w:hAnsi="仿宋" w:eastAsia="仿宋" w:cs="仿宋"/>
                <w:sz w:val="24"/>
                <w:szCs w:val="24"/>
              </w:rPr>
              <w:t>），</w:t>
            </w:r>
            <w:r>
              <w:rPr>
                <w:rFonts w:hint="eastAsia" w:ascii="仿宋" w:hAnsi="仿宋" w:eastAsia="仿宋" w:cs="仿宋"/>
                <w:spacing w:val="-2"/>
                <w:sz w:val="24"/>
                <w:szCs w:val="24"/>
              </w:rPr>
              <w:t>并适</w:t>
            </w:r>
            <w:r>
              <w:rPr>
                <w:rFonts w:hint="eastAsia" w:ascii="仿宋" w:hAnsi="仿宋" w:eastAsia="仿宋" w:cs="仿宋"/>
                <w:spacing w:val="-1"/>
                <w:sz w:val="24"/>
                <w:szCs w:val="24"/>
              </w:rPr>
              <w:t>时留样送检进行验证，相关检测报告存档备查（存档时间不低于5年）。（具体污染物指标按</w:t>
            </w:r>
            <w:r>
              <w:rPr>
                <w:rFonts w:hint="eastAsia" w:ascii="仿宋" w:hAnsi="仿宋" w:eastAsia="仿宋" w:cs="仿宋"/>
                <w:spacing w:val="-2"/>
                <w:sz w:val="24"/>
                <w:szCs w:val="24"/>
              </w:rPr>
              <w:t>《城镇污水处理厂污泥处置园林绿化用泥质》（GB/T23486-2009）中的限值要求进行控制，</w:t>
            </w:r>
            <w:r>
              <w:rPr>
                <w:rFonts w:hint="eastAsia" w:ascii="仿宋" w:hAnsi="仿宋" w:eastAsia="仿宋" w:cs="仿宋"/>
                <w:spacing w:val="-1"/>
                <w:sz w:val="24"/>
                <w:szCs w:val="24"/>
              </w:rPr>
              <w:t>该标准无规定的污染物指标必须低于“危险废物鉴别系列标准”</w:t>
            </w:r>
            <w:r>
              <w:rPr>
                <w:rFonts w:hint="eastAsia" w:ascii="仿宋" w:hAnsi="仿宋" w:eastAsia="仿宋" w:cs="仿宋"/>
                <w:spacing w:val="-2"/>
                <w:sz w:val="24"/>
                <w:szCs w:val="24"/>
              </w:rPr>
              <w:t>中的限值规定）</w:t>
            </w:r>
          </w:p>
          <w:p w14:paraId="51D4C6DF">
            <w:pPr>
              <w:pStyle w:val="136"/>
              <w:keepNext w:val="0"/>
              <w:keepLines w:val="0"/>
              <w:pageBreakBefore w:val="0"/>
              <w:widowControl w:val="0"/>
              <w:kinsoku/>
              <w:wordWrap/>
              <w:overflowPunct/>
              <w:topLinePunct w:val="0"/>
              <w:autoSpaceDE/>
              <w:autoSpaceDN/>
              <w:bidi w:val="0"/>
              <w:adjustRightInd w:val="0"/>
              <w:snapToGrid w:val="0"/>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⑥</w:t>
            </w:r>
            <w:r>
              <w:rPr>
                <w:rFonts w:hint="eastAsia" w:ascii="仿宋" w:hAnsi="仿宋" w:eastAsia="仿宋" w:cs="仿宋"/>
                <w:spacing w:val="1"/>
                <w:sz w:val="24"/>
                <w:szCs w:val="24"/>
              </w:rPr>
              <w:t>做好进厂污泥的台账记录（包括但不限于来源企业</w:t>
            </w:r>
            <w:r>
              <w:rPr>
                <w:rFonts w:hint="eastAsia" w:ascii="仿宋" w:hAnsi="仿宋" w:eastAsia="仿宋" w:cs="仿宋"/>
                <w:sz w:val="24"/>
                <w:szCs w:val="24"/>
              </w:rPr>
              <w:t>、进厂时间、数量、车牌、感官等信</w:t>
            </w:r>
            <w:r>
              <w:rPr>
                <w:rFonts w:hint="eastAsia" w:ascii="仿宋" w:hAnsi="仿宋" w:eastAsia="仿宋" w:cs="仿宋"/>
                <w:spacing w:val="-1"/>
                <w:sz w:val="24"/>
                <w:szCs w:val="24"/>
              </w:rPr>
              <w:t>息</w:t>
            </w:r>
            <w:r>
              <w:rPr>
                <w:rFonts w:hint="eastAsia" w:ascii="仿宋" w:hAnsi="仿宋" w:eastAsia="仿宋" w:cs="仿宋"/>
                <w:spacing w:val="4"/>
                <w:sz w:val="24"/>
                <w:szCs w:val="24"/>
              </w:rPr>
              <w:t>），</w:t>
            </w:r>
            <w:r>
              <w:rPr>
                <w:rFonts w:hint="eastAsia" w:ascii="仿宋" w:hAnsi="仿宋" w:eastAsia="仿宋" w:cs="仿宋"/>
                <w:spacing w:val="-1"/>
                <w:sz w:val="24"/>
                <w:szCs w:val="24"/>
              </w:rPr>
              <w:t>严格杜绝不符合要求的污泥进厂，做好来</w:t>
            </w:r>
            <w:r>
              <w:rPr>
                <w:rFonts w:hint="eastAsia" w:ascii="仿宋" w:hAnsi="仿宋" w:eastAsia="仿宋" w:cs="仿宋"/>
                <w:spacing w:val="-2"/>
                <w:sz w:val="24"/>
                <w:szCs w:val="24"/>
              </w:rPr>
              <w:t>料质控。</w:t>
            </w:r>
          </w:p>
          <w:p w14:paraId="3F8BD25E">
            <w:pPr>
              <w:pStyle w:val="9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pacing w:val="-1"/>
                <w:sz w:val="24"/>
                <w:szCs w:val="24"/>
                <w:lang w:val="en-US" w:eastAsia="zh-CN"/>
              </w:rPr>
            </w:pPr>
            <w:r>
              <w:rPr>
                <w:rFonts w:hint="eastAsia" w:ascii="仿宋" w:hAnsi="仿宋" w:eastAsia="仿宋" w:cs="仿宋"/>
                <w:spacing w:val="1"/>
                <w:sz w:val="24"/>
                <w:szCs w:val="24"/>
              </w:rPr>
              <w:t>⑦企业应视实际运行管理情况及当地环保管理要求</w:t>
            </w:r>
            <w:r>
              <w:rPr>
                <w:rFonts w:hint="eastAsia" w:ascii="仿宋" w:hAnsi="仿宋" w:eastAsia="仿宋" w:cs="仿宋"/>
                <w:sz w:val="24"/>
                <w:szCs w:val="24"/>
              </w:rPr>
              <w:t>，适时制定更为严格的污泥来料控制制</w:t>
            </w:r>
            <w:r>
              <w:rPr>
                <w:rFonts w:hint="eastAsia" w:ascii="仿宋" w:hAnsi="仿宋" w:eastAsia="仿宋" w:cs="仿宋"/>
                <w:spacing w:val="-1"/>
                <w:sz w:val="24"/>
                <w:szCs w:val="24"/>
              </w:rPr>
              <w:t>度，并严格执行。</w:t>
            </w:r>
          </w:p>
          <w:p w14:paraId="3E2FB04C">
            <w:pPr>
              <w:pStyle w:val="94"/>
              <w:keepNext w:val="0"/>
              <w:keepLines w:val="0"/>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仿宋" w:hAnsi="仿宋" w:eastAsia="仿宋" w:cs="仿宋"/>
                <w:b/>
                <w:bCs/>
                <w:color w:val="auto"/>
                <w:spacing w:val="-1"/>
                <w:sz w:val="24"/>
                <w:szCs w:val="24"/>
                <w:lang w:val="en-US" w:eastAsia="zh-CN"/>
              </w:rPr>
            </w:pPr>
            <w:r>
              <w:rPr>
                <w:rFonts w:hint="eastAsia" w:ascii="仿宋" w:hAnsi="仿宋" w:eastAsia="仿宋" w:cs="仿宋"/>
                <w:b/>
                <w:bCs/>
                <w:color w:val="auto"/>
                <w:spacing w:val="-1"/>
                <w:sz w:val="24"/>
                <w:szCs w:val="24"/>
                <w:lang w:val="en-US" w:eastAsia="zh-CN"/>
              </w:rPr>
              <w:t>7、生产时间和定员</w:t>
            </w:r>
          </w:p>
          <w:p w14:paraId="454E33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pacing w:val="-1"/>
                <w:sz w:val="24"/>
                <w:szCs w:val="24"/>
                <w:lang w:val="en-US" w:eastAsia="zh-CN"/>
              </w:rPr>
            </w:pPr>
            <w:r>
              <w:rPr>
                <w:rFonts w:hint="eastAsia" w:ascii="仿宋" w:hAnsi="仿宋" w:eastAsia="仿宋" w:cs="仿宋"/>
                <w:snapToGrid w:val="0"/>
                <w:color w:val="auto"/>
                <w:kern w:val="0"/>
                <w:sz w:val="24"/>
                <w:szCs w:val="24"/>
                <w:lang w:val="en-US" w:eastAsia="zh-CN"/>
              </w:rPr>
              <w:t>本项目劳动定员为60人。工作时间：</w:t>
            </w:r>
            <w:r>
              <w:rPr>
                <w:rFonts w:hint="eastAsia" w:ascii="仿宋" w:hAnsi="仿宋" w:eastAsia="仿宋" w:cs="仿宋"/>
                <w:snapToGrid w:val="0"/>
                <w:color w:val="auto"/>
                <w:kern w:val="0"/>
                <w:sz w:val="24"/>
                <w:szCs w:val="24"/>
              </w:rPr>
              <w:t>年工作</w:t>
            </w:r>
            <w:r>
              <w:rPr>
                <w:rFonts w:hint="eastAsia" w:ascii="仿宋" w:hAnsi="仿宋" w:eastAsia="仿宋" w:cs="仿宋"/>
                <w:snapToGrid w:val="0"/>
                <w:color w:val="auto"/>
                <w:kern w:val="0"/>
                <w:sz w:val="24"/>
                <w:szCs w:val="24"/>
                <w:lang w:val="en-US" w:eastAsia="zh-CN"/>
              </w:rPr>
              <w:t>330</w:t>
            </w:r>
            <w:r>
              <w:rPr>
                <w:rFonts w:hint="eastAsia" w:ascii="仿宋" w:hAnsi="仿宋" w:eastAsia="仿宋" w:cs="仿宋"/>
                <w:snapToGrid w:val="0"/>
                <w:color w:val="auto"/>
                <w:kern w:val="0"/>
                <w:sz w:val="24"/>
                <w:szCs w:val="24"/>
              </w:rPr>
              <w:t>天</w:t>
            </w:r>
            <w:r>
              <w:rPr>
                <w:rFonts w:hint="eastAsia" w:ascii="仿宋" w:hAnsi="仿宋" w:eastAsia="仿宋" w:cs="仿宋"/>
                <w:snapToGrid w:val="0"/>
                <w:color w:val="auto"/>
                <w:kern w:val="0"/>
                <w:sz w:val="24"/>
                <w:szCs w:val="24"/>
                <w:lang w:eastAsia="zh-CN"/>
              </w:rPr>
              <w:t>，</w:t>
            </w:r>
            <w:r>
              <w:rPr>
                <w:rFonts w:hint="eastAsia" w:ascii="仿宋" w:hAnsi="仿宋" w:eastAsia="仿宋" w:cs="仿宋"/>
                <w:snapToGrid w:val="0"/>
                <w:color w:val="auto"/>
                <w:kern w:val="0"/>
                <w:sz w:val="24"/>
                <w:szCs w:val="24"/>
                <w:lang w:val="en-US" w:eastAsia="zh-CN"/>
              </w:rPr>
              <w:t>三班制，每班次8h。</w:t>
            </w:r>
          </w:p>
          <w:p w14:paraId="5119F3D8">
            <w:pPr>
              <w:pStyle w:val="94"/>
              <w:keepNext w:val="0"/>
              <w:keepLines w:val="0"/>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仿宋" w:hAnsi="仿宋" w:eastAsia="仿宋" w:cs="仿宋"/>
                <w:b/>
                <w:bCs/>
                <w:color w:val="auto"/>
                <w:spacing w:val="-1"/>
                <w:sz w:val="24"/>
                <w:szCs w:val="24"/>
                <w:lang w:val="en-US" w:eastAsia="zh-CN"/>
              </w:rPr>
            </w:pPr>
            <w:r>
              <w:rPr>
                <w:rFonts w:hint="eastAsia" w:ascii="仿宋" w:hAnsi="仿宋" w:eastAsia="仿宋" w:cs="仿宋"/>
                <w:b/>
                <w:bCs/>
                <w:color w:val="auto"/>
                <w:spacing w:val="-1"/>
                <w:sz w:val="24"/>
                <w:szCs w:val="24"/>
                <w:lang w:val="en-US" w:eastAsia="zh-CN"/>
              </w:rPr>
              <w:t>8、平面布置</w:t>
            </w:r>
          </w:p>
          <w:p w14:paraId="766D7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napToGrid/>
                <w:color w:val="auto"/>
                <w:kern w:val="2"/>
                <w:sz w:val="24"/>
                <w:szCs w:val="24"/>
                <w:highlight w:val="yellow"/>
                <w:lang w:val="en-US" w:eastAsia="zh-CN"/>
              </w:rPr>
            </w:pPr>
            <w:r>
              <w:rPr>
                <w:rFonts w:hint="eastAsia" w:ascii="仿宋" w:hAnsi="仿宋" w:eastAsia="仿宋" w:cs="仿宋"/>
                <w:snapToGrid w:val="0"/>
                <w:color w:val="auto"/>
                <w:kern w:val="0"/>
                <w:sz w:val="24"/>
                <w:szCs w:val="24"/>
                <w:lang w:val="en-US" w:eastAsia="zh-CN"/>
              </w:rPr>
              <w:t>根据现场勘查情况结合厂区平面布置图（附图3），本项目位于安徽省淮南市大通区上窑镇206国道北侧上窑工业集聚区内，属于上窑工业集聚区，本项目生产工序均位于车间内，按照工艺流程从西向东布置，便于物料转移，总体来讲，项目功能分区明确、工艺流程合理、物流运输便捷顺畅，平面布置较为合理。</w:t>
            </w:r>
          </w:p>
          <w:p w14:paraId="3A5FDEF2">
            <w:pPr>
              <w:pStyle w:val="94"/>
              <w:keepNext w:val="0"/>
              <w:keepLines w:val="0"/>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仿宋" w:hAnsi="仿宋" w:eastAsia="仿宋" w:cs="仿宋"/>
                <w:b/>
                <w:bCs/>
                <w:color w:val="auto"/>
                <w:spacing w:val="-1"/>
                <w:sz w:val="24"/>
                <w:szCs w:val="24"/>
                <w:highlight w:val="none"/>
                <w:lang w:val="en-US" w:eastAsia="zh-CN"/>
              </w:rPr>
            </w:pPr>
            <w:r>
              <w:rPr>
                <w:rFonts w:hint="eastAsia" w:ascii="仿宋" w:hAnsi="仿宋" w:eastAsia="仿宋" w:cs="仿宋"/>
                <w:b/>
                <w:bCs/>
                <w:color w:val="auto"/>
                <w:spacing w:val="-1"/>
                <w:sz w:val="24"/>
                <w:szCs w:val="24"/>
                <w:highlight w:val="none"/>
                <w:lang w:val="en-US" w:eastAsia="zh-CN"/>
              </w:rPr>
              <w:t>9、物料平衡及水平衡</w:t>
            </w:r>
          </w:p>
          <w:p w14:paraId="51E621C2">
            <w:pPr>
              <w:keepNext w:val="0"/>
              <w:keepLines w:val="0"/>
              <w:pageBreakBefore w:val="0"/>
              <w:widowControl w:val="0"/>
              <w:kinsoku/>
              <w:wordWrap/>
              <w:overflowPunct/>
              <w:topLinePunct w:val="0"/>
              <w:autoSpaceDE/>
              <w:autoSpaceDN/>
              <w:bidi w:val="0"/>
              <w:adjustRightInd/>
              <w:spacing w:line="360" w:lineRule="auto"/>
              <w:ind w:right="0" w:firstLine="482" w:firstLineChars="200"/>
              <w:textAlignment w:val="auto"/>
              <w:rPr>
                <w:rFonts w:hint="default" w:ascii="仿宋" w:hAnsi="仿宋" w:eastAsia="仿宋" w:cs="仿宋"/>
                <w:b/>
                <w:bCs/>
                <w:snapToGrid w:val="0"/>
                <w:color w:val="auto"/>
                <w:kern w:val="0"/>
                <w:sz w:val="24"/>
                <w:szCs w:val="24"/>
                <w:highlight w:val="none"/>
                <w:lang w:val="en-US" w:eastAsia="zh-CN"/>
              </w:rPr>
            </w:pPr>
            <w:r>
              <w:rPr>
                <w:rFonts w:hint="eastAsia" w:ascii="仿宋" w:hAnsi="仿宋" w:eastAsia="仿宋" w:cs="仿宋"/>
                <w:b/>
                <w:bCs/>
                <w:snapToGrid w:val="0"/>
                <w:color w:val="auto"/>
                <w:kern w:val="0"/>
                <w:sz w:val="24"/>
                <w:szCs w:val="24"/>
                <w:highlight w:val="none"/>
                <w:lang w:val="en-US" w:eastAsia="zh-CN"/>
              </w:rPr>
              <w:t>（1）物料平衡</w:t>
            </w:r>
          </w:p>
          <w:p w14:paraId="02DE88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本项目利用秸秆、污泥等按比例混合后经高温发酵、筛分、破碎后制成营养土以及土壤改良剂，根据企业提供的资料，可得本项目物料平衡如表2-8所示。</w:t>
            </w:r>
          </w:p>
          <w:p w14:paraId="62A68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表2-8 物料平衡 单位：t/a</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39"/>
              <w:gridCol w:w="1116"/>
              <w:gridCol w:w="524"/>
              <w:gridCol w:w="2147"/>
              <w:gridCol w:w="1151"/>
              <w:gridCol w:w="1564"/>
            </w:tblGrid>
            <w:tr w14:paraId="04EBA1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trPr>
              <w:tc>
                <w:tcPr>
                  <w:tcW w:w="5000" w:type="pct"/>
                  <w:gridSpan w:val="6"/>
                  <w:tcBorders>
                    <w:tl2br w:val="nil"/>
                    <w:tr2bl w:val="nil"/>
                  </w:tcBorders>
                  <w:shd w:val="clear" w:color="auto" w:fill="auto"/>
                  <w:vAlign w:val="center"/>
                </w:tcPr>
                <w:p w14:paraId="05C0CE4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总物料平衡</w:t>
                  </w:r>
                </w:p>
              </w:tc>
            </w:tr>
            <w:tr w14:paraId="2BBB83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5E53387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物料</w:t>
                  </w:r>
                </w:p>
              </w:tc>
              <w:tc>
                <w:tcPr>
                  <w:tcW w:w="616" w:type="pct"/>
                  <w:tcBorders>
                    <w:tl2br w:val="nil"/>
                    <w:tr2bl w:val="nil"/>
                  </w:tcBorders>
                  <w:shd w:val="clear" w:color="auto" w:fill="auto"/>
                  <w:vAlign w:val="center"/>
                </w:tcPr>
                <w:p w14:paraId="6FF171DF">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数量</w:t>
                  </w:r>
                </w:p>
              </w:tc>
              <w:tc>
                <w:tcPr>
                  <w:tcW w:w="1557" w:type="pct"/>
                  <w:gridSpan w:val="2"/>
                  <w:tcBorders>
                    <w:tl2br w:val="nil"/>
                    <w:tr2bl w:val="nil"/>
                  </w:tcBorders>
                  <w:shd w:val="clear" w:color="auto" w:fill="auto"/>
                  <w:vAlign w:val="center"/>
                </w:tcPr>
                <w:p w14:paraId="21CAF3F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物料</w:t>
                  </w:r>
                </w:p>
              </w:tc>
              <w:tc>
                <w:tcPr>
                  <w:tcW w:w="672" w:type="pct"/>
                  <w:tcBorders>
                    <w:tl2br w:val="nil"/>
                    <w:tr2bl w:val="nil"/>
                  </w:tcBorders>
                  <w:shd w:val="clear" w:color="auto" w:fill="auto"/>
                  <w:vAlign w:val="center"/>
                </w:tcPr>
                <w:p w14:paraId="787F619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数量</w:t>
                  </w:r>
                </w:p>
              </w:tc>
              <w:tc>
                <w:tcPr>
                  <w:tcW w:w="908" w:type="pct"/>
                  <w:tcBorders>
                    <w:tl2br w:val="nil"/>
                    <w:tr2bl w:val="nil"/>
                  </w:tcBorders>
                  <w:shd w:val="clear" w:color="auto" w:fill="auto"/>
                  <w:vAlign w:val="center"/>
                </w:tcPr>
                <w:p w14:paraId="05FE0EE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去向</w:t>
                  </w:r>
                </w:p>
              </w:tc>
            </w:tr>
            <w:tr w14:paraId="40B62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05416F0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污泥</w:t>
                  </w:r>
                </w:p>
              </w:tc>
              <w:tc>
                <w:tcPr>
                  <w:tcW w:w="616" w:type="pct"/>
                  <w:tcBorders>
                    <w:tl2br w:val="nil"/>
                    <w:tr2bl w:val="nil"/>
                  </w:tcBorders>
                  <w:shd w:val="clear" w:color="auto" w:fill="auto"/>
                  <w:vAlign w:val="center"/>
                </w:tcPr>
                <w:p w14:paraId="49819F9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75149.398 </w:t>
                  </w:r>
                </w:p>
              </w:tc>
              <w:tc>
                <w:tcPr>
                  <w:tcW w:w="309" w:type="pct"/>
                  <w:vMerge w:val="restart"/>
                  <w:tcBorders>
                    <w:tl2br w:val="nil"/>
                    <w:tr2bl w:val="nil"/>
                  </w:tcBorders>
                  <w:shd w:val="clear" w:color="auto" w:fill="auto"/>
                  <w:vAlign w:val="center"/>
                </w:tcPr>
                <w:p w14:paraId="5184A7E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产品</w:t>
                  </w:r>
                </w:p>
              </w:tc>
              <w:tc>
                <w:tcPr>
                  <w:tcW w:w="1247" w:type="pct"/>
                  <w:tcBorders>
                    <w:tl2br w:val="nil"/>
                    <w:tr2bl w:val="nil"/>
                  </w:tcBorders>
                  <w:shd w:val="clear" w:color="auto" w:fill="auto"/>
                  <w:vAlign w:val="center"/>
                </w:tcPr>
                <w:p w14:paraId="06CCA0D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营养土</w:t>
                  </w:r>
                </w:p>
              </w:tc>
              <w:tc>
                <w:tcPr>
                  <w:tcW w:w="672" w:type="pct"/>
                  <w:tcBorders>
                    <w:tl2br w:val="nil"/>
                    <w:tr2bl w:val="nil"/>
                  </w:tcBorders>
                  <w:shd w:val="clear" w:color="auto" w:fill="auto"/>
                  <w:vAlign w:val="center"/>
                </w:tcPr>
                <w:p w14:paraId="2E63020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70000</w:t>
                  </w:r>
                </w:p>
              </w:tc>
              <w:tc>
                <w:tcPr>
                  <w:tcW w:w="908" w:type="pct"/>
                  <w:tcBorders>
                    <w:tl2br w:val="nil"/>
                    <w:tr2bl w:val="nil"/>
                  </w:tcBorders>
                  <w:shd w:val="clear" w:color="auto" w:fill="auto"/>
                  <w:vAlign w:val="center"/>
                </w:tcPr>
                <w:p w14:paraId="71437F7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作为产品出售</w:t>
                  </w:r>
                </w:p>
              </w:tc>
            </w:tr>
            <w:tr w14:paraId="3922F7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1B98712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秸秆</w:t>
                  </w:r>
                </w:p>
              </w:tc>
              <w:tc>
                <w:tcPr>
                  <w:tcW w:w="616" w:type="pct"/>
                  <w:tcBorders>
                    <w:tl2br w:val="nil"/>
                    <w:tr2bl w:val="nil"/>
                  </w:tcBorders>
                  <w:shd w:val="clear" w:color="auto" w:fill="auto"/>
                  <w:vAlign w:val="center"/>
                </w:tcPr>
                <w:p w14:paraId="1F1D348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19316.142 </w:t>
                  </w:r>
                </w:p>
              </w:tc>
              <w:tc>
                <w:tcPr>
                  <w:tcW w:w="309" w:type="pct"/>
                  <w:vMerge w:val="continue"/>
                  <w:tcBorders>
                    <w:tl2br w:val="nil"/>
                    <w:tr2bl w:val="nil"/>
                  </w:tcBorders>
                  <w:shd w:val="clear" w:color="auto" w:fill="auto"/>
                  <w:vAlign w:val="center"/>
                </w:tcPr>
                <w:p w14:paraId="7C189D0A">
                  <w:pPr>
                    <w:jc w:val="center"/>
                    <w:rPr>
                      <w:rFonts w:hint="eastAsia" w:ascii="仿宋" w:hAnsi="仿宋" w:eastAsia="仿宋" w:cs="仿宋"/>
                      <w:i w:val="0"/>
                      <w:iCs w:val="0"/>
                      <w:color w:val="000000"/>
                      <w:sz w:val="18"/>
                      <w:szCs w:val="18"/>
                      <w:u w:val="none"/>
                    </w:rPr>
                  </w:pPr>
                </w:p>
              </w:tc>
              <w:tc>
                <w:tcPr>
                  <w:tcW w:w="1247" w:type="pct"/>
                  <w:tcBorders>
                    <w:tl2br w:val="nil"/>
                    <w:tr2bl w:val="nil"/>
                  </w:tcBorders>
                  <w:shd w:val="clear" w:color="auto" w:fill="auto"/>
                  <w:vAlign w:val="center"/>
                </w:tcPr>
                <w:p w14:paraId="19F9A86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土壤改良剂</w:t>
                  </w:r>
                </w:p>
              </w:tc>
              <w:tc>
                <w:tcPr>
                  <w:tcW w:w="672" w:type="pct"/>
                  <w:tcBorders>
                    <w:tl2br w:val="nil"/>
                    <w:tr2bl w:val="nil"/>
                  </w:tcBorders>
                  <w:shd w:val="clear" w:color="auto" w:fill="auto"/>
                  <w:vAlign w:val="center"/>
                </w:tcPr>
                <w:p w14:paraId="6D2F46A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30000</w:t>
                  </w:r>
                </w:p>
              </w:tc>
              <w:tc>
                <w:tcPr>
                  <w:tcW w:w="908" w:type="pct"/>
                  <w:tcBorders>
                    <w:tl2br w:val="nil"/>
                    <w:tr2bl w:val="nil"/>
                  </w:tcBorders>
                  <w:shd w:val="clear" w:color="auto" w:fill="auto"/>
                  <w:vAlign w:val="center"/>
                </w:tcPr>
                <w:p w14:paraId="3803C7C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作为产品出售</w:t>
                  </w:r>
                </w:p>
              </w:tc>
            </w:tr>
            <w:tr w14:paraId="5ABE25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4C5EBFBD">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草木灰</w:t>
                  </w:r>
                </w:p>
              </w:tc>
              <w:tc>
                <w:tcPr>
                  <w:tcW w:w="616" w:type="pct"/>
                  <w:tcBorders>
                    <w:tl2br w:val="nil"/>
                    <w:tr2bl w:val="nil"/>
                  </w:tcBorders>
                  <w:shd w:val="clear" w:color="auto" w:fill="auto"/>
                  <w:vAlign w:val="center"/>
                </w:tcPr>
                <w:p w14:paraId="306C8697">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19316.142 </w:t>
                  </w:r>
                </w:p>
              </w:tc>
              <w:tc>
                <w:tcPr>
                  <w:tcW w:w="309" w:type="pct"/>
                  <w:vMerge w:val="restart"/>
                  <w:tcBorders>
                    <w:tl2br w:val="nil"/>
                    <w:tr2bl w:val="nil"/>
                  </w:tcBorders>
                  <w:shd w:val="clear" w:color="auto" w:fill="auto"/>
                  <w:vAlign w:val="center"/>
                </w:tcPr>
                <w:p w14:paraId="266355F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废气</w:t>
                  </w:r>
                </w:p>
              </w:tc>
              <w:tc>
                <w:tcPr>
                  <w:tcW w:w="1247" w:type="pct"/>
                  <w:tcBorders>
                    <w:tl2br w:val="nil"/>
                    <w:tr2bl w:val="nil"/>
                  </w:tcBorders>
                  <w:shd w:val="clear" w:color="auto" w:fill="auto"/>
                  <w:vAlign w:val="center"/>
                </w:tcPr>
                <w:p w14:paraId="0B4C217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水分损耗</w:t>
                  </w:r>
                </w:p>
              </w:tc>
              <w:tc>
                <w:tcPr>
                  <w:tcW w:w="672" w:type="pct"/>
                  <w:tcBorders>
                    <w:tl2br w:val="nil"/>
                    <w:tr2bl w:val="nil"/>
                  </w:tcBorders>
                  <w:shd w:val="clear" w:color="auto" w:fill="auto"/>
                  <w:vAlign w:val="center"/>
                </w:tcPr>
                <w:p w14:paraId="4E93446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33474.201 </w:t>
                  </w:r>
                </w:p>
              </w:tc>
              <w:tc>
                <w:tcPr>
                  <w:tcW w:w="908" w:type="pct"/>
                  <w:tcBorders>
                    <w:tl2br w:val="nil"/>
                    <w:tr2bl w:val="nil"/>
                  </w:tcBorders>
                  <w:shd w:val="clear" w:color="auto" w:fill="auto"/>
                  <w:vAlign w:val="center"/>
                </w:tcPr>
                <w:p w14:paraId="11D7CB5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随废气排放</w:t>
                  </w:r>
                </w:p>
              </w:tc>
            </w:tr>
            <w:tr w14:paraId="1AA5E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410F7386">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药渣</w:t>
                  </w:r>
                </w:p>
              </w:tc>
              <w:tc>
                <w:tcPr>
                  <w:tcW w:w="616" w:type="pct"/>
                  <w:tcBorders>
                    <w:tl2br w:val="nil"/>
                    <w:tr2bl w:val="nil"/>
                  </w:tcBorders>
                  <w:shd w:val="clear" w:color="auto" w:fill="auto"/>
                  <w:vAlign w:val="center"/>
                </w:tcPr>
                <w:p w14:paraId="315A51DE">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19316.142 </w:t>
                  </w:r>
                </w:p>
              </w:tc>
              <w:tc>
                <w:tcPr>
                  <w:tcW w:w="309" w:type="pct"/>
                  <w:vMerge w:val="continue"/>
                  <w:tcBorders>
                    <w:tl2br w:val="nil"/>
                    <w:tr2bl w:val="nil"/>
                  </w:tcBorders>
                  <w:shd w:val="clear" w:color="auto" w:fill="auto"/>
                  <w:vAlign w:val="center"/>
                </w:tcPr>
                <w:p w14:paraId="4ECB9F4A">
                  <w:pPr>
                    <w:jc w:val="center"/>
                    <w:rPr>
                      <w:rFonts w:hint="eastAsia" w:ascii="仿宋" w:hAnsi="仿宋" w:eastAsia="仿宋" w:cs="仿宋"/>
                      <w:i w:val="0"/>
                      <w:iCs w:val="0"/>
                      <w:color w:val="000000"/>
                      <w:sz w:val="18"/>
                      <w:szCs w:val="18"/>
                      <w:u w:val="none"/>
                    </w:rPr>
                  </w:pPr>
                </w:p>
              </w:tc>
              <w:tc>
                <w:tcPr>
                  <w:tcW w:w="1247" w:type="pct"/>
                  <w:tcBorders>
                    <w:tl2br w:val="nil"/>
                    <w:tr2bl w:val="nil"/>
                  </w:tcBorders>
                  <w:shd w:val="clear" w:color="auto" w:fill="auto"/>
                  <w:vAlign w:val="center"/>
                </w:tcPr>
                <w:p w14:paraId="1144475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粉尘（颗粒物）</w:t>
                  </w:r>
                </w:p>
              </w:tc>
              <w:tc>
                <w:tcPr>
                  <w:tcW w:w="672" w:type="pct"/>
                  <w:tcBorders>
                    <w:tl2br w:val="nil"/>
                    <w:tr2bl w:val="nil"/>
                  </w:tcBorders>
                  <w:shd w:val="clear" w:color="auto" w:fill="auto"/>
                  <w:vAlign w:val="center"/>
                </w:tcPr>
                <w:p w14:paraId="0B6BB31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4.033</w:t>
                  </w:r>
                </w:p>
              </w:tc>
              <w:tc>
                <w:tcPr>
                  <w:tcW w:w="908" w:type="pct"/>
                  <w:tcBorders>
                    <w:tl2br w:val="nil"/>
                    <w:tr2bl w:val="nil"/>
                  </w:tcBorders>
                  <w:shd w:val="clear" w:color="auto" w:fill="auto"/>
                  <w:vAlign w:val="center"/>
                </w:tcPr>
                <w:p w14:paraId="2B2F486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作为废气排放</w:t>
                  </w:r>
                </w:p>
              </w:tc>
            </w:tr>
            <w:tr w14:paraId="79267A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605A8E26">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废水</w:t>
                  </w:r>
                </w:p>
              </w:tc>
              <w:tc>
                <w:tcPr>
                  <w:tcW w:w="616" w:type="pct"/>
                  <w:tcBorders>
                    <w:tl2br w:val="nil"/>
                    <w:tr2bl w:val="nil"/>
                  </w:tcBorders>
                  <w:shd w:val="clear" w:color="auto" w:fill="auto"/>
                  <w:vAlign w:val="center"/>
                </w:tcPr>
                <w:p w14:paraId="616B1595">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462</w:t>
                  </w:r>
                </w:p>
              </w:tc>
              <w:tc>
                <w:tcPr>
                  <w:tcW w:w="309" w:type="pct"/>
                  <w:vMerge w:val="continue"/>
                  <w:tcBorders>
                    <w:tl2br w:val="nil"/>
                    <w:tr2bl w:val="nil"/>
                  </w:tcBorders>
                  <w:shd w:val="clear" w:color="auto" w:fill="auto"/>
                  <w:vAlign w:val="center"/>
                </w:tcPr>
                <w:p w14:paraId="1BF171C3">
                  <w:pPr>
                    <w:jc w:val="center"/>
                    <w:rPr>
                      <w:rFonts w:hint="eastAsia" w:ascii="仿宋" w:hAnsi="仿宋" w:eastAsia="仿宋" w:cs="仿宋"/>
                      <w:i w:val="0"/>
                      <w:iCs w:val="0"/>
                      <w:color w:val="000000"/>
                      <w:sz w:val="18"/>
                      <w:szCs w:val="18"/>
                      <w:u w:val="none"/>
                    </w:rPr>
                  </w:pPr>
                </w:p>
              </w:tc>
              <w:tc>
                <w:tcPr>
                  <w:tcW w:w="1247" w:type="pct"/>
                  <w:tcBorders>
                    <w:tl2br w:val="nil"/>
                    <w:tr2bl w:val="nil"/>
                  </w:tcBorders>
                  <w:shd w:val="clear" w:color="auto" w:fill="auto"/>
                  <w:vAlign w:val="center"/>
                </w:tcPr>
                <w:p w14:paraId="2F4B571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臭气（硫化氢、氨）</w:t>
                  </w:r>
                </w:p>
              </w:tc>
              <w:tc>
                <w:tcPr>
                  <w:tcW w:w="672" w:type="pct"/>
                  <w:tcBorders>
                    <w:tl2br w:val="nil"/>
                    <w:tr2bl w:val="nil"/>
                  </w:tcBorders>
                  <w:shd w:val="clear" w:color="auto" w:fill="auto"/>
                  <w:vAlign w:val="center"/>
                </w:tcPr>
                <w:p w14:paraId="1AE0BEF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31.591</w:t>
                  </w:r>
                </w:p>
              </w:tc>
              <w:tc>
                <w:tcPr>
                  <w:tcW w:w="908" w:type="pct"/>
                  <w:tcBorders>
                    <w:tl2br w:val="nil"/>
                    <w:tr2bl w:val="nil"/>
                  </w:tcBorders>
                  <w:shd w:val="clear" w:color="auto" w:fill="auto"/>
                  <w:vAlign w:val="center"/>
                </w:tcPr>
                <w:p w14:paraId="18578DF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作为废气排放</w:t>
                  </w:r>
                </w:p>
              </w:tc>
            </w:tr>
            <w:tr w14:paraId="728AAE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52F8EF35">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收集尘</w:t>
                  </w:r>
                </w:p>
              </w:tc>
              <w:tc>
                <w:tcPr>
                  <w:tcW w:w="616" w:type="pct"/>
                  <w:tcBorders>
                    <w:tl2br w:val="nil"/>
                    <w:tr2bl w:val="nil"/>
                  </w:tcBorders>
                  <w:shd w:val="clear" w:color="auto" w:fill="auto"/>
                  <w:vAlign w:val="center"/>
                </w:tcPr>
                <w:p w14:paraId="26A6BFBE">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32.967</w:t>
                  </w:r>
                </w:p>
              </w:tc>
              <w:tc>
                <w:tcPr>
                  <w:tcW w:w="309" w:type="pct"/>
                  <w:vMerge w:val="restart"/>
                  <w:tcBorders>
                    <w:tl2br w:val="nil"/>
                    <w:tr2bl w:val="nil"/>
                  </w:tcBorders>
                  <w:shd w:val="clear" w:color="auto" w:fill="auto"/>
                  <w:vAlign w:val="center"/>
                </w:tcPr>
                <w:p w14:paraId="446163B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固废</w:t>
                  </w:r>
                </w:p>
              </w:tc>
              <w:tc>
                <w:tcPr>
                  <w:tcW w:w="1247" w:type="pct"/>
                  <w:tcBorders>
                    <w:tl2br w:val="nil"/>
                    <w:tr2bl w:val="nil"/>
                  </w:tcBorders>
                  <w:shd w:val="clear" w:color="auto" w:fill="auto"/>
                  <w:vAlign w:val="center"/>
                </w:tcPr>
                <w:p w14:paraId="4009984F">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不可降解物（塑料、金属等）</w:t>
                  </w:r>
                </w:p>
              </w:tc>
              <w:tc>
                <w:tcPr>
                  <w:tcW w:w="672" w:type="pct"/>
                  <w:tcBorders>
                    <w:tl2br w:val="nil"/>
                    <w:tr2bl w:val="nil"/>
                  </w:tcBorders>
                  <w:shd w:val="clear" w:color="auto" w:fill="auto"/>
                  <w:vAlign w:val="center"/>
                </w:tcPr>
                <w:p w14:paraId="084933F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908" w:type="pct"/>
                  <w:tcBorders>
                    <w:tl2br w:val="nil"/>
                    <w:tr2bl w:val="nil"/>
                  </w:tcBorders>
                  <w:shd w:val="clear" w:color="auto" w:fill="auto"/>
                  <w:vAlign w:val="center"/>
                </w:tcPr>
                <w:p w14:paraId="74A69C1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外运综合处置</w:t>
                  </w:r>
                </w:p>
              </w:tc>
            </w:tr>
            <w:tr w14:paraId="4968B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727870D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6" w:type="pct"/>
                  <w:tcBorders>
                    <w:tl2br w:val="nil"/>
                    <w:tr2bl w:val="nil"/>
                  </w:tcBorders>
                  <w:shd w:val="clear" w:color="auto" w:fill="auto"/>
                  <w:vAlign w:val="center"/>
                </w:tcPr>
                <w:p w14:paraId="3894EFB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309" w:type="pct"/>
                  <w:vMerge w:val="continue"/>
                  <w:tcBorders>
                    <w:tl2br w:val="nil"/>
                    <w:tr2bl w:val="nil"/>
                  </w:tcBorders>
                  <w:shd w:val="clear" w:color="auto" w:fill="auto"/>
                  <w:vAlign w:val="center"/>
                </w:tcPr>
                <w:p w14:paraId="3B961DDB">
                  <w:pPr>
                    <w:jc w:val="center"/>
                    <w:rPr>
                      <w:rFonts w:hint="eastAsia" w:ascii="仿宋" w:hAnsi="仿宋" w:eastAsia="仿宋" w:cs="仿宋"/>
                      <w:i w:val="0"/>
                      <w:iCs w:val="0"/>
                      <w:color w:val="000000"/>
                      <w:sz w:val="18"/>
                      <w:szCs w:val="18"/>
                      <w:u w:val="none"/>
                    </w:rPr>
                  </w:pPr>
                </w:p>
              </w:tc>
              <w:tc>
                <w:tcPr>
                  <w:tcW w:w="1247" w:type="pct"/>
                  <w:tcBorders>
                    <w:tl2br w:val="nil"/>
                    <w:tr2bl w:val="nil"/>
                  </w:tcBorders>
                  <w:shd w:val="clear" w:color="auto" w:fill="auto"/>
                  <w:vAlign w:val="center"/>
                </w:tcPr>
                <w:p w14:paraId="023088BF">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收集尘</w:t>
                  </w:r>
                </w:p>
              </w:tc>
              <w:tc>
                <w:tcPr>
                  <w:tcW w:w="672" w:type="pct"/>
                  <w:tcBorders>
                    <w:tl2br w:val="nil"/>
                    <w:tr2bl w:val="nil"/>
                  </w:tcBorders>
                  <w:shd w:val="clear" w:color="auto" w:fill="auto"/>
                  <w:vAlign w:val="center"/>
                </w:tcPr>
                <w:p w14:paraId="30EC995F">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32.967</w:t>
                  </w:r>
                </w:p>
              </w:tc>
              <w:tc>
                <w:tcPr>
                  <w:tcW w:w="908" w:type="pct"/>
                  <w:tcBorders>
                    <w:tl2br w:val="nil"/>
                    <w:tr2bl w:val="nil"/>
                  </w:tcBorders>
                  <w:shd w:val="clear" w:color="auto" w:fill="auto"/>
                  <w:vAlign w:val="center"/>
                </w:tcPr>
                <w:p w14:paraId="6E23564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回用于生产</w:t>
                  </w:r>
                </w:p>
              </w:tc>
            </w:tr>
            <w:tr w14:paraId="0CC1FF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060B33A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616" w:type="pct"/>
                  <w:tcBorders>
                    <w:tl2br w:val="nil"/>
                    <w:tr2bl w:val="nil"/>
                  </w:tcBorders>
                  <w:shd w:val="clear" w:color="auto" w:fill="auto"/>
                  <w:vAlign w:val="center"/>
                </w:tcPr>
                <w:p w14:paraId="3980928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133592.792 </w:t>
                  </w:r>
                </w:p>
              </w:tc>
              <w:tc>
                <w:tcPr>
                  <w:tcW w:w="1557" w:type="pct"/>
                  <w:gridSpan w:val="2"/>
                  <w:tcBorders>
                    <w:tl2br w:val="nil"/>
                    <w:tr2bl w:val="nil"/>
                  </w:tcBorders>
                  <w:shd w:val="clear" w:color="auto" w:fill="auto"/>
                  <w:vAlign w:val="center"/>
                </w:tcPr>
                <w:p w14:paraId="05EC0EB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672" w:type="pct"/>
                  <w:tcBorders>
                    <w:tl2br w:val="nil"/>
                    <w:tr2bl w:val="nil"/>
                  </w:tcBorders>
                  <w:shd w:val="clear" w:color="auto" w:fill="auto"/>
                  <w:vAlign w:val="center"/>
                </w:tcPr>
                <w:p w14:paraId="67FE615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133592.792 </w:t>
                  </w:r>
                </w:p>
              </w:tc>
              <w:tc>
                <w:tcPr>
                  <w:tcW w:w="908" w:type="pct"/>
                  <w:tcBorders>
                    <w:tl2br w:val="nil"/>
                    <w:tr2bl w:val="nil"/>
                  </w:tcBorders>
                  <w:shd w:val="clear" w:color="auto" w:fill="auto"/>
                  <w:vAlign w:val="center"/>
                </w:tcPr>
                <w:p w14:paraId="231F8A1B">
                  <w:pPr>
                    <w:jc w:val="center"/>
                    <w:rPr>
                      <w:rFonts w:hint="eastAsia" w:ascii="仿宋" w:hAnsi="仿宋" w:eastAsia="仿宋" w:cs="仿宋"/>
                      <w:i w:val="0"/>
                      <w:iCs w:val="0"/>
                      <w:color w:val="000000"/>
                      <w:sz w:val="18"/>
                      <w:szCs w:val="18"/>
                      <w:u w:val="none"/>
                    </w:rPr>
                  </w:pPr>
                </w:p>
              </w:tc>
            </w:tr>
            <w:tr w14:paraId="6172A3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5000" w:type="pct"/>
                  <w:gridSpan w:val="6"/>
                  <w:tcBorders>
                    <w:tl2br w:val="nil"/>
                    <w:tr2bl w:val="nil"/>
                  </w:tcBorders>
                  <w:shd w:val="clear" w:color="auto" w:fill="auto"/>
                  <w:vAlign w:val="center"/>
                </w:tcPr>
                <w:p w14:paraId="52FADFA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水分平衡（不计分解产生部分）</w:t>
                  </w:r>
                </w:p>
              </w:tc>
            </w:tr>
            <w:tr w14:paraId="40CE1E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36AB6BF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污泥中含水（约70%）</w:t>
                  </w:r>
                </w:p>
              </w:tc>
              <w:tc>
                <w:tcPr>
                  <w:tcW w:w="616" w:type="pct"/>
                  <w:tcBorders>
                    <w:tl2br w:val="nil"/>
                    <w:tr2bl w:val="nil"/>
                  </w:tcBorders>
                  <w:shd w:val="clear" w:color="auto" w:fill="auto"/>
                  <w:vAlign w:val="center"/>
                </w:tcPr>
                <w:p w14:paraId="00BBFB6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52604.579 </w:t>
                  </w:r>
                </w:p>
              </w:tc>
              <w:tc>
                <w:tcPr>
                  <w:tcW w:w="1557" w:type="pct"/>
                  <w:gridSpan w:val="2"/>
                  <w:tcBorders>
                    <w:tl2br w:val="nil"/>
                    <w:tr2bl w:val="nil"/>
                  </w:tcBorders>
                  <w:shd w:val="clear" w:color="auto" w:fill="auto"/>
                  <w:vAlign w:val="center"/>
                </w:tcPr>
                <w:p w14:paraId="13FD452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营养土中含水（约35%）</w:t>
                  </w:r>
                </w:p>
              </w:tc>
              <w:tc>
                <w:tcPr>
                  <w:tcW w:w="672" w:type="pct"/>
                  <w:tcBorders>
                    <w:tl2br w:val="nil"/>
                    <w:tr2bl w:val="nil"/>
                  </w:tcBorders>
                  <w:shd w:val="clear" w:color="auto" w:fill="auto"/>
                  <w:vAlign w:val="center"/>
                </w:tcPr>
                <w:p w14:paraId="0594EA4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24500</w:t>
                  </w:r>
                </w:p>
              </w:tc>
              <w:tc>
                <w:tcPr>
                  <w:tcW w:w="908" w:type="pct"/>
                  <w:tcBorders>
                    <w:tl2br w:val="nil"/>
                    <w:tr2bl w:val="nil"/>
                  </w:tcBorders>
                  <w:shd w:val="clear" w:color="auto" w:fill="auto"/>
                  <w:vAlign w:val="center"/>
                </w:tcPr>
                <w:p w14:paraId="638D51F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进入产品</w:t>
                  </w:r>
                </w:p>
              </w:tc>
            </w:tr>
            <w:tr w14:paraId="39BFDC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6D70123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秸秆中含水（约50%）</w:t>
                  </w:r>
                </w:p>
              </w:tc>
              <w:tc>
                <w:tcPr>
                  <w:tcW w:w="616" w:type="pct"/>
                  <w:tcBorders>
                    <w:tl2br w:val="nil"/>
                    <w:tr2bl w:val="nil"/>
                  </w:tcBorders>
                  <w:shd w:val="clear" w:color="auto" w:fill="auto"/>
                  <w:vAlign w:val="center"/>
                </w:tcPr>
                <w:p w14:paraId="50CE6C1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9658.071 </w:t>
                  </w:r>
                </w:p>
              </w:tc>
              <w:tc>
                <w:tcPr>
                  <w:tcW w:w="1557" w:type="pct"/>
                  <w:gridSpan w:val="2"/>
                  <w:tcBorders>
                    <w:tl2br w:val="nil"/>
                    <w:tr2bl w:val="nil"/>
                  </w:tcBorders>
                  <w:shd w:val="clear" w:color="auto" w:fill="auto"/>
                  <w:vAlign w:val="center"/>
                </w:tcPr>
                <w:p w14:paraId="18E0398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土壤改良剂中含水（约30%）</w:t>
                  </w:r>
                </w:p>
              </w:tc>
              <w:tc>
                <w:tcPr>
                  <w:tcW w:w="672" w:type="pct"/>
                  <w:tcBorders>
                    <w:tl2br w:val="nil"/>
                    <w:tr2bl w:val="nil"/>
                  </w:tcBorders>
                  <w:shd w:val="clear" w:color="auto" w:fill="auto"/>
                  <w:vAlign w:val="center"/>
                </w:tcPr>
                <w:p w14:paraId="045F743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9000</w:t>
                  </w:r>
                </w:p>
              </w:tc>
              <w:tc>
                <w:tcPr>
                  <w:tcW w:w="908" w:type="pct"/>
                  <w:tcBorders>
                    <w:tl2br w:val="nil"/>
                    <w:tr2bl w:val="nil"/>
                  </w:tcBorders>
                  <w:shd w:val="clear" w:color="auto" w:fill="auto"/>
                  <w:vAlign w:val="center"/>
                </w:tcPr>
                <w:p w14:paraId="222A3C2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随废气排放</w:t>
                  </w:r>
                </w:p>
              </w:tc>
            </w:tr>
            <w:tr w14:paraId="7A84C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67DE0EB1">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草木灰中含水（约10%）</w:t>
                  </w:r>
                </w:p>
              </w:tc>
              <w:tc>
                <w:tcPr>
                  <w:tcW w:w="616" w:type="pct"/>
                  <w:tcBorders>
                    <w:tl2br w:val="nil"/>
                    <w:tr2bl w:val="nil"/>
                  </w:tcBorders>
                  <w:shd w:val="clear" w:color="auto" w:fill="auto"/>
                  <w:vAlign w:val="center"/>
                </w:tcPr>
                <w:p w14:paraId="38A1E3D5">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1931.614 </w:t>
                  </w:r>
                </w:p>
              </w:tc>
              <w:tc>
                <w:tcPr>
                  <w:tcW w:w="1557" w:type="pct"/>
                  <w:gridSpan w:val="2"/>
                  <w:tcBorders>
                    <w:tl2br w:val="nil"/>
                    <w:tr2bl w:val="nil"/>
                  </w:tcBorders>
                  <w:shd w:val="clear" w:color="auto" w:fill="auto"/>
                  <w:vAlign w:val="center"/>
                </w:tcPr>
                <w:p w14:paraId="4F166F4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水分损耗</w:t>
                  </w:r>
                </w:p>
              </w:tc>
              <w:tc>
                <w:tcPr>
                  <w:tcW w:w="672" w:type="pct"/>
                  <w:tcBorders>
                    <w:tl2br w:val="nil"/>
                    <w:tr2bl w:val="nil"/>
                  </w:tcBorders>
                  <w:shd w:val="clear" w:color="auto" w:fill="auto"/>
                  <w:vAlign w:val="center"/>
                </w:tcPr>
                <w:p w14:paraId="61EF2D3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33474.201 </w:t>
                  </w:r>
                </w:p>
              </w:tc>
              <w:tc>
                <w:tcPr>
                  <w:tcW w:w="908" w:type="pct"/>
                  <w:tcBorders>
                    <w:tl2br w:val="nil"/>
                    <w:tr2bl w:val="nil"/>
                  </w:tcBorders>
                  <w:shd w:val="clear" w:color="auto" w:fill="auto"/>
                  <w:vAlign w:val="center"/>
                </w:tcPr>
                <w:p w14:paraId="1A88954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随废气排放</w:t>
                  </w:r>
                </w:p>
              </w:tc>
            </w:tr>
            <w:tr w14:paraId="0889E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56B15069">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药渣中含水（约12%）</w:t>
                  </w:r>
                </w:p>
              </w:tc>
              <w:tc>
                <w:tcPr>
                  <w:tcW w:w="616" w:type="pct"/>
                  <w:tcBorders>
                    <w:tl2br w:val="nil"/>
                    <w:tr2bl w:val="nil"/>
                  </w:tcBorders>
                  <w:shd w:val="clear" w:color="auto" w:fill="auto"/>
                  <w:vAlign w:val="center"/>
                </w:tcPr>
                <w:p w14:paraId="526122A9">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2317.937 </w:t>
                  </w:r>
                </w:p>
              </w:tc>
              <w:tc>
                <w:tcPr>
                  <w:tcW w:w="1557" w:type="pct"/>
                  <w:gridSpan w:val="2"/>
                  <w:tcBorders>
                    <w:tl2br w:val="nil"/>
                    <w:tr2bl w:val="nil"/>
                  </w:tcBorders>
                  <w:shd w:val="clear" w:color="auto" w:fill="auto"/>
                  <w:vAlign w:val="center"/>
                </w:tcPr>
                <w:p w14:paraId="7730633D">
                  <w:pPr>
                    <w:jc w:val="center"/>
                    <w:rPr>
                      <w:rFonts w:hint="eastAsia" w:ascii="仿宋" w:hAnsi="仿宋" w:eastAsia="仿宋" w:cs="仿宋"/>
                      <w:i w:val="0"/>
                      <w:iCs w:val="0"/>
                      <w:color w:val="000000"/>
                      <w:sz w:val="18"/>
                      <w:szCs w:val="18"/>
                      <w:u w:val="none"/>
                    </w:rPr>
                  </w:pPr>
                </w:p>
              </w:tc>
              <w:tc>
                <w:tcPr>
                  <w:tcW w:w="672" w:type="pct"/>
                  <w:tcBorders>
                    <w:tl2br w:val="nil"/>
                    <w:tr2bl w:val="nil"/>
                  </w:tcBorders>
                  <w:shd w:val="clear" w:color="auto" w:fill="auto"/>
                  <w:vAlign w:val="center"/>
                </w:tcPr>
                <w:p w14:paraId="76C4AA37">
                  <w:pPr>
                    <w:jc w:val="center"/>
                    <w:rPr>
                      <w:rFonts w:hint="eastAsia" w:ascii="仿宋" w:hAnsi="仿宋" w:eastAsia="仿宋" w:cs="仿宋"/>
                      <w:i w:val="0"/>
                      <w:iCs w:val="0"/>
                      <w:color w:val="000000"/>
                      <w:sz w:val="18"/>
                      <w:szCs w:val="18"/>
                      <w:u w:val="none"/>
                    </w:rPr>
                  </w:pPr>
                </w:p>
              </w:tc>
              <w:tc>
                <w:tcPr>
                  <w:tcW w:w="908" w:type="pct"/>
                  <w:tcBorders>
                    <w:tl2br w:val="nil"/>
                    <w:tr2bl w:val="nil"/>
                  </w:tcBorders>
                  <w:shd w:val="clear" w:color="auto" w:fill="auto"/>
                  <w:vAlign w:val="center"/>
                </w:tcPr>
                <w:p w14:paraId="1EAD2BB2">
                  <w:pPr>
                    <w:jc w:val="center"/>
                    <w:rPr>
                      <w:rFonts w:hint="eastAsia" w:ascii="仿宋" w:hAnsi="仿宋" w:eastAsia="仿宋" w:cs="仿宋"/>
                      <w:i w:val="0"/>
                      <w:iCs w:val="0"/>
                      <w:color w:val="000000"/>
                      <w:sz w:val="18"/>
                      <w:szCs w:val="18"/>
                      <w:u w:val="none"/>
                    </w:rPr>
                  </w:pPr>
                </w:p>
              </w:tc>
            </w:tr>
            <w:tr w14:paraId="78115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244" w:type="pct"/>
                  <w:tcBorders>
                    <w:tl2br w:val="nil"/>
                    <w:tr2bl w:val="nil"/>
                  </w:tcBorders>
                  <w:shd w:val="clear" w:color="auto" w:fill="auto"/>
                  <w:vAlign w:val="center"/>
                </w:tcPr>
                <w:p w14:paraId="2E07089D">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废水</w:t>
                  </w:r>
                </w:p>
              </w:tc>
              <w:tc>
                <w:tcPr>
                  <w:tcW w:w="616" w:type="pct"/>
                  <w:tcBorders>
                    <w:tl2br w:val="nil"/>
                    <w:tr2bl w:val="nil"/>
                  </w:tcBorders>
                  <w:shd w:val="clear" w:color="auto" w:fill="auto"/>
                  <w:vAlign w:val="center"/>
                </w:tcPr>
                <w:p w14:paraId="3CBAA96E">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462</w:t>
                  </w:r>
                </w:p>
              </w:tc>
              <w:tc>
                <w:tcPr>
                  <w:tcW w:w="1557" w:type="pct"/>
                  <w:gridSpan w:val="2"/>
                  <w:tcBorders>
                    <w:tl2br w:val="nil"/>
                    <w:tr2bl w:val="nil"/>
                  </w:tcBorders>
                  <w:shd w:val="clear" w:color="auto" w:fill="auto"/>
                  <w:vAlign w:val="center"/>
                </w:tcPr>
                <w:p w14:paraId="56A61CF1">
                  <w:pPr>
                    <w:jc w:val="center"/>
                    <w:rPr>
                      <w:rFonts w:hint="eastAsia" w:ascii="仿宋" w:hAnsi="仿宋" w:eastAsia="仿宋" w:cs="仿宋"/>
                      <w:i w:val="0"/>
                      <w:iCs w:val="0"/>
                      <w:color w:val="000000"/>
                      <w:sz w:val="18"/>
                      <w:szCs w:val="18"/>
                      <w:u w:val="none"/>
                    </w:rPr>
                  </w:pPr>
                </w:p>
              </w:tc>
              <w:tc>
                <w:tcPr>
                  <w:tcW w:w="672" w:type="pct"/>
                  <w:tcBorders>
                    <w:tl2br w:val="nil"/>
                    <w:tr2bl w:val="nil"/>
                  </w:tcBorders>
                  <w:shd w:val="clear" w:color="auto" w:fill="auto"/>
                  <w:vAlign w:val="center"/>
                </w:tcPr>
                <w:p w14:paraId="3075BAE8">
                  <w:pPr>
                    <w:jc w:val="center"/>
                    <w:rPr>
                      <w:rFonts w:hint="eastAsia" w:ascii="仿宋" w:hAnsi="仿宋" w:eastAsia="仿宋" w:cs="仿宋"/>
                      <w:i w:val="0"/>
                      <w:iCs w:val="0"/>
                      <w:color w:val="000000"/>
                      <w:sz w:val="18"/>
                      <w:szCs w:val="18"/>
                      <w:u w:val="none"/>
                    </w:rPr>
                  </w:pPr>
                </w:p>
              </w:tc>
              <w:tc>
                <w:tcPr>
                  <w:tcW w:w="908" w:type="pct"/>
                  <w:tcBorders>
                    <w:tl2br w:val="nil"/>
                    <w:tr2bl w:val="nil"/>
                  </w:tcBorders>
                  <w:shd w:val="clear" w:color="auto" w:fill="auto"/>
                  <w:vAlign w:val="center"/>
                </w:tcPr>
                <w:p w14:paraId="0455E6E4">
                  <w:pPr>
                    <w:jc w:val="center"/>
                    <w:rPr>
                      <w:rFonts w:hint="eastAsia" w:ascii="仿宋" w:hAnsi="仿宋" w:eastAsia="仿宋" w:cs="仿宋"/>
                      <w:i w:val="0"/>
                      <w:iCs w:val="0"/>
                      <w:color w:val="000000"/>
                      <w:sz w:val="18"/>
                      <w:szCs w:val="18"/>
                      <w:u w:val="none"/>
                    </w:rPr>
                  </w:pPr>
                </w:p>
              </w:tc>
            </w:tr>
            <w:tr w14:paraId="6A183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244" w:type="pct"/>
                  <w:tcBorders>
                    <w:tl2br w:val="nil"/>
                    <w:tr2bl w:val="nil"/>
                  </w:tcBorders>
                  <w:shd w:val="clear" w:color="auto" w:fill="auto"/>
                  <w:vAlign w:val="center"/>
                </w:tcPr>
                <w:p w14:paraId="2C973D85">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合计</w:t>
                  </w:r>
                </w:p>
              </w:tc>
              <w:tc>
                <w:tcPr>
                  <w:tcW w:w="616" w:type="pct"/>
                  <w:tcBorders>
                    <w:tl2br w:val="nil"/>
                    <w:tr2bl w:val="nil"/>
                  </w:tcBorders>
                  <w:shd w:val="clear" w:color="auto" w:fill="auto"/>
                  <w:vAlign w:val="center"/>
                </w:tcPr>
                <w:p w14:paraId="620263BA">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66974.201 </w:t>
                  </w:r>
                </w:p>
              </w:tc>
              <w:tc>
                <w:tcPr>
                  <w:tcW w:w="1557" w:type="pct"/>
                  <w:gridSpan w:val="2"/>
                  <w:tcBorders>
                    <w:tl2br w:val="nil"/>
                    <w:tr2bl w:val="nil"/>
                  </w:tcBorders>
                  <w:shd w:val="clear" w:color="auto" w:fill="auto"/>
                  <w:vAlign w:val="center"/>
                </w:tcPr>
                <w:p w14:paraId="561F47C1">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合计</w:t>
                  </w:r>
                </w:p>
              </w:tc>
              <w:tc>
                <w:tcPr>
                  <w:tcW w:w="672" w:type="pct"/>
                  <w:tcBorders>
                    <w:tl2br w:val="nil"/>
                    <w:tr2bl w:val="nil"/>
                  </w:tcBorders>
                  <w:shd w:val="clear" w:color="auto" w:fill="auto"/>
                  <w:vAlign w:val="center"/>
                </w:tcPr>
                <w:p w14:paraId="70D38C0D">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 xml:space="preserve">66974.201 </w:t>
                  </w:r>
                </w:p>
              </w:tc>
              <w:tc>
                <w:tcPr>
                  <w:tcW w:w="908" w:type="pct"/>
                  <w:tcBorders>
                    <w:tl2br w:val="nil"/>
                    <w:tr2bl w:val="nil"/>
                  </w:tcBorders>
                  <w:shd w:val="clear" w:color="auto" w:fill="auto"/>
                  <w:vAlign w:val="center"/>
                </w:tcPr>
                <w:p w14:paraId="1E189492">
                  <w:pPr>
                    <w:jc w:val="center"/>
                    <w:rPr>
                      <w:rFonts w:hint="eastAsia" w:ascii="仿宋" w:hAnsi="仿宋" w:eastAsia="仿宋" w:cs="仿宋"/>
                      <w:i w:val="0"/>
                      <w:iCs w:val="0"/>
                      <w:color w:val="000000"/>
                      <w:sz w:val="18"/>
                      <w:szCs w:val="18"/>
                      <w:u w:val="none"/>
                    </w:rPr>
                  </w:pPr>
                </w:p>
              </w:tc>
            </w:tr>
          </w:tbl>
          <w:p w14:paraId="2B7E4F8C">
            <w:pPr>
              <w:keepNext w:val="0"/>
              <w:keepLines w:val="0"/>
              <w:pageBreakBefore w:val="0"/>
              <w:widowControl w:val="0"/>
              <w:kinsoku/>
              <w:wordWrap/>
              <w:overflowPunct/>
              <w:topLinePunct w:val="0"/>
              <w:autoSpaceDE/>
              <w:autoSpaceDN/>
              <w:bidi w:val="0"/>
              <w:adjustRightInd/>
              <w:spacing w:line="360" w:lineRule="auto"/>
              <w:ind w:right="0" w:firstLine="482" w:firstLineChars="200"/>
              <w:textAlignment w:val="auto"/>
              <w:rPr>
                <w:rFonts w:hint="default" w:ascii="仿宋" w:hAnsi="仿宋" w:eastAsia="仿宋" w:cs="仿宋"/>
                <w:b/>
                <w:bCs/>
                <w:snapToGrid w:val="0"/>
                <w:color w:val="auto"/>
                <w:kern w:val="0"/>
                <w:sz w:val="24"/>
                <w:szCs w:val="24"/>
                <w:highlight w:val="none"/>
                <w:lang w:val="en-US" w:eastAsia="zh-CN"/>
              </w:rPr>
            </w:pPr>
            <w:r>
              <w:rPr>
                <w:rFonts w:hint="eastAsia" w:ascii="仿宋" w:hAnsi="仿宋" w:eastAsia="仿宋" w:cs="仿宋"/>
                <w:b/>
                <w:bCs/>
                <w:snapToGrid w:val="0"/>
                <w:color w:val="auto"/>
                <w:kern w:val="0"/>
                <w:sz w:val="24"/>
                <w:szCs w:val="24"/>
                <w:highlight w:val="none"/>
                <w:lang w:val="en-US" w:eastAsia="zh-CN"/>
              </w:rPr>
              <w:t>（2）水平衡</w:t>
            </w:r>
          </w:p>
          <w:p w14:paraId="3A18DF02">
            <w:pPr>
              <w:keepNext w:val="0"/>
              <w:keepLines w:val="0"/>
              <w:pageBreakBefore w:val="0"/>
              <w:widowControl w:val="0"/>
              <w:kinsoku/>
              <w:wordWrap/>
              <w:overflowPunct/>
              <w:topLinePunct w:val="0"/>
              <w:autoSpaceDE/>
              <w:autoSpaceDN/>
              <w:bidi w:val="0"/>
              <w:adjustRightInd/>
              <w:spacing w:line="360" w:lineRule="auto"/>
              <w:ind w:right="0" w:firstLine="480"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本项目引自园区供水管网</w:t>
            </w:r>
            <w:r>
              <w:rPr>
                <w:rFonts w:hint="eastAsia" w:ascii="仿宋" w:hAnsi="仿宋" w:eastAsia="仿宋" w:cs="仿宋"/>
                <w:snapToGrid w:val="0"/>
                <w:color w:val="auto"/>
                <w:kern w:val="0"/>
                <w:sz w:val="24"/>
                <w:szCs w:val="24"/>
                <w:highlight w:val="none"/>
              </w:rPr>
              <w:t>，能满足项目生活、生产及消防用水需求。</w:t>
            </w:r>
            <w:r>
              <w:rPr>
                <w:rFonts w:hint="eastAsia" w:ascii="仿宋" w:hAnsi="仿宋" w:eastAsia="仿宋" w:cs="仿宋"/>
                <w:snapToGrid w:val="0"/>
                <w:color w:val="auto"/>
                <w:kern w:val="0"/>
                <w:sz w:val="24"/>
                <w:szCs w:val="24"/>
                <w:highlight w:val="none"/>
                <w:lang w:val="en-US" w:eastAsia="zh-CN"/>
              </w:rPr>
              <w:t>本项目</w:t>
            </w:r>
            <w:r>
              <w:rPr>
                <w:rFonts w:hint="eastAsia" w:ascii="仿宋" w:hAnsi="仿宋" w:eastAsia="仿宋" w:cs="仿宋"/>
                <w:snapToGrid w:val="0"/>
                <w:color w:val="auto"/>
                <w:kern w:val="0"/>
                <w:sz w:val="24"/>
                <w:szCs w:val="24"/>
                <w:highlight w:val="none"/>
              </w:rPr>
              <w:t>用水情况如下：</w:t>
            </w:r>
          </w:p>
          <w:p w14:paraId="34C157CC">
            <w:pPr>
              <w:keepNext w:val="0"/>
              <w:keepLines w:val="0"/>
              <w:pageBreakBefore w:val="0"/>
              <w:widowControl w:val="0"/>
              <w:kinsoku/>
              <w:wordWrap/>
              <w:overflowPunct/>
              <w:topLinePunct w:val="0"/>
              <w:autoSpaceDE/>
              <w:autoSpaceDN/>
              <w:bidi w:val="0"/>
              <w:adjustRightInd/>
              <w:spacing w:line="360" w:lineRule="auto"/>
              <w:ind w:right="0" w:firstLine="480"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rPr>
              <w:t>①</w:t>
            </w:r>
            <w:r>
              <w:rPr>
                <w:rFonts w:hint="eastAsia" w:ascii="仿宋" w:hAnsi="仿宋" w:eastAsia="仿宋" w:cs="仿宋"/>
                <w:snapToGrid w:val="0"/>
                <w:color w:val="auto"/>
                <w:kern w:val="0"/>
                <w:sz w:val="24"/>
                <w:szCs w:val="24"/>
                <w:highlight w:val="none"/>
                <w:lang w:val="en-US" w:eastAsia="zh-CN"/>
              </w:rPr>
              <w:t>生活用水：本项目劳动定员60人。生活用水量按照50L/每人•d计，则生活用水量3m³/d（990m³/a</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lang w:val="en-US" w:eastAsia="zh-CN"/>
              </w:rPr>
              <w:t>产污系数为80%，废水量为2.4</w:t>
            </w:r>
            <w:r>
              <w:rPr>
                <w:rFonts w:hint="eastAsia" w:ascii="仿宋" w:hAnsi="仿宋" w:eastAsia="仿宋" w:cs="仿宋"/>
                <w:snapToGrid w:val="0"/>
                <w:color w:val="auto"/>
                <w:kern w:val="0"/>
                <w:sz w:val="24"/>
                <w:szCs w:val="24"/>
                <w:highlight w:val="none"/>
                <w:lang w:eastAsia="zh-CN"/>
              </w:rPr>
              <w:t>m³</w:t>
            </w:r>
            <w:r>
              <w:rPr>
                <w:rFonts w:hint="eastAsia" w:ascii="仿宋" w:hAnsi="仿宋" w:eastAsia="仿宋" w:cs="仿宋"/>
                <w:snapToGrid w:val="0"/>
                <w:color w:val="auto"/>
                <w:kern w:val="0"/>
                <w:sz w:val="24"/>
                <w:szCs w:val="24"/>
                <w:highlight w:val="none"/>
              </w:rPr>
              <w:t>/d</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lang w:val="en-US" w:eastAsia="zh-CN"/>
              </w:rPr>
              <w:t>792m³/a</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生活污水经过化粪池</w:t>
            </w:r>
            <w:r>
              <w:rPr>
                <w:rFonts w:hint="eastAsia" w:ascii="仿宋" w:hAnsi="仿宋" w:eastAsia="仿宋" w:cs="仿宋"/>
                <w:snapToGrid w:val="0"/>
                <w:color w:val="auto"/>
                <w:kern w:val="0"/>
                <w:sz w:val="24"/>
                <w:szCs w:val="24"/>
                <w:highlight w:val="none"/>
                <w:lang w:eastAsia="zh-CN"/>
              </w:rPr>
              <w:t>预</w:t>
            </w:r>
            <w:r>
              <w:rPr>
                <w:rFonts w:hint="eastAsia" w:ascii="仿宋" w:hAnsi="仿宋" w:eastAsia="仿宋" w:cs="仿宋"/>
                <w:snapToGrid w:val="0"/>
                <w:color w:val="auto"/>
                <w:kern w:val="0"/>
                <w:sz w:val="24"/>
                <w:szCs w:val="24"/>
                <w:highlight w:val="none"/>
              </w:rPr>
              <w:t>处理后，达到接管标准后</w:t>
            </w:r>
            <w:r>
              <w:rPr>
                <w:rFonts w:hint="eastAsia" w:ascii="仿宋" w:hAnsi="仿宋" w:eastAsia="仿宋" w:cs="仿宋"/>
                <w:color w:val="000000"/>
                <w:kern w:val="0"/>
                <w:sz w:val="24"/>
                <w:szCs w:val="24"/>
                <w:highlight w:val="none"/>
                <w:lang w:val="en-US" w:eastAsia="zh-CN" w:bidi="ar"/>
              </w:rPr>
              <w:t>经市政管网排入上窑工业聚集区污水处理厂深度处理，最终排入窑河</w:t>
            </w:r>
            <w:r>
              <w:rPr>
                <w:rFonts w:hint="default" w:ascii="仿宋" w:hAnsi="仿宋" w:eastAsia="仿宋" w:cs="仿宋"/>
                <w:snapToGrid w:val="0"/>
                <w:color w:val="auto"/>
                <w:kern w:val="0"/>
                <w:sz w:val="24"/>
                <w:szCs w:val="24"/>
                <w:highlight w:val="none"/>
                <w:lang w:val="en-US" w:eastAsia="zh-CN"/>
              </w:rPr>
              <w:t>。</w:t>
            </w:r>
          </w:p>
          <w:p w14:paraId="2B71047F">
            <w:pPr>
              <w:keepNext w:val="0"/>
              <w:keepLines w:val="0"/>
              <w:pageBreakBefore w:val="0"/>
              <w:widowControl w:val="0"/>
              <w:kinsoku/>
              <w:wordWrap/>
              <w:overflowPunct/>
              <w:topLinePunct w:val="0"/>
              <w:autoSpaceDE/>
              <w:autoSpaceDN/>
              <w:bidi w:val="0"/>
              <w:adjustRightInd/>
              <w:spacing w:line="360" w:lineRule="auto"/>
              <w:ind w:right="0" w:firstLine="480"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②车辆清洗用水：企业拟在厂区出入口处对进出车辆轮胎进行冲洗，该冲洗水日常循环使用，视损耗情况进行补水。考虑到混入泥砂杂质的增多会影响清洗效果，需对清洗水进行及时更新。清洗水量约4m³，日更新量按用量的20%计，则该股废水产生量约264.0m³/a（0.8m³/d），其主要污染物为CODCr、氨氮、总氮、总磷及SS等，全部回用于混合配料（回用量较少，不会明显影响发酵物料的含水率，是可行的）。</w:t>
            </w:r>
          </w:p>
          <w:p w14:paraId="34E8A064">
            <w:pPr>
              <w:keepNext w:val="0"/>
              <w:keepLines w:val="0"/>
              <w:pageBreakBefore w:val="0"/>
              <w:widowControl w:val="0"/>
              <w:kinsoku/>
              <w:wordWrap/>
              <w:overflowPunct/>
              <w:topLinePunct w:val="0"/>
              <w:autoSpaceDE/>
              <w:autoSpaceDN/>
              <w:bidi w:val="0"/>
              <w:adjustRightInd/>
              <w:spacing w:line="360" w:lineRule="auto"/>
              <w:ind w:right="0" w:firstLine="480"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color w:val="000000"/>
                <w:kern w:val="0"/>
                <w:sz w:val="24"/>
                <w:szCs w:val="24"/>
                <w:lang w:val="en-US" w:eastAsia="zh-CN" w:bidi="ar"/>
              </w:rPr>
              <w:t>③喷淋用水：本项目废气处理工艺中涉及1套水喷淋装置，系统设计风量约15000m³/h，循环水量按1.5L/m³计约30m³/h（设1个3m³循环水槽）。为保证废气净化效果，需及时对喷淋水进行更新，为此循环水槽设置两个阀门分别进行补水和排水。每天排水量按装水量的20%计，则该股废水量约198.0m³/a（日均0.6m³），其主要污染物为CODCr、氨氮、总氮、总磷及SS等，可全部回用于混合配料（回用量较少，不会明显影响发酵物料的含水率，是可行的）。</w:t>
            </w:r>
          </w:p>
          <w:p w14:paraId="128BA275">
            <w:pPr>
              <w:pStyle w:val="9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pacing w:val="-1"/>
                <w:sz w:val="24"/>
                <w:szCs w:val="24"/>
                <w:highlight w:val="yellow"/>
                <w:lang w:val="en-US" w:eastAsia="zh-CN"/>
              </w:rPr>
            </w:pPr>
            <w:r>
              <w:rPr>
                <w:rFonts w:hint="eastAsia" w:ascii="仿宋" w:hAnsi="仿宋" w:eastAsia="仿宋" w:cs="仿宋"/>
                <w:b/>
                <w:bCs/>
                <w:color w:val="auto"/>
                <w:spacing w:val="-1"/>
                <w:sz w:val="24"/>
                <w:szCs w:val="24"/>
                <w:highlight w:val="none"/>
                <w:lang w:val="en-US" w:eastAsia="zh-CN"/>
              </w:rPr>
              <w:drawing>
                <wp:inline distT="0" distB="0" distL="114300" distR="114300">
                  <wp:extent cx="5474335" cy="1811020"/>
                  <wp:effectExtent l="0" t="0" r="0" b="0"/>
                  <wp:docPr id="1" name="图片 1" descr="营养土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养土水平衡"/>
                          <pic:cNvPicPr>
                            <a:picLocks noChangeAspect="1"/>
                          </pic:cNvPicPr>
                        </pic:nvPicPr>
                        <pic:blipFill>
                          <a:blip r:embed="rId7"/>
                          <a:stretch>
                            <a:fillRect/>
                          </a:stretch>
                        </pic:blipFill>
                        <pic:spPr>
                          <a:xfrm>
                            <a:off x="0" y="0"/>
                            <a:ext cx="5474335" cy="1811020"/>
                          </a:xfrm>
                          <a:prstGeom prst="rect">
                            <a:avLst/>
                          </a:prstGeom>
                        </pic:spPr>
                      </pic:pic>
                    </a:graphicData>
                  </a:graphic>
                </wp:inline>
              </w:drawing>
            </w:r>
          </w:p>
          <w:p w14:paraId="5BC20FE8">
            <w:pPr>
              <w:pStyle w:val="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auto"/>
                <w:spacing w:val="-1"/>
                <w:kern w:val="0"/>
                <w:sz w:val="24"/>
                <w:szCs w:val="24"/>
                <w:highlight w:val="none"/>
                <w:lang w:val="en-US" w:eastAsia="zh-CN" w:bidi="ar-SA"/>
              </w:rPr>
            </w:pPr>
            <w:r>
              <w:rPr>
                <w:rFonts w:hint="eastAsia" w:ascii="仿宋" w:hAnsi="仿宋" w:eastAsia="仿宋" w:cs="仿宋"/>
                <w:b/>
                <w:bCs/>
                <w:color w:val="auto"/>
                <w:spacing w:val="-1"/>
                <w:sz w:val="21"/>
                <w:szCs w:val="21"/>
                <w:highlight w:val="none"/>
                <w:lang w:val="en-US" w:eastAsia="zh-CN"/>
              </w:rPr>
              <w:t>图2-1 项目水平衡 单位：m³/d</w:t>
            </w:r>
          </w:p>
        </w:tc>
      </w:tr>
      <w:tr w14:paraId="60953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1" w:type="dxa"/>
            <w:bottom w:w="57" w:type="dxa"/>
            <w:right w:w="51" w:type="dxa"/>
          </w:tblCellMar>
        </w:tblPrEx>
        <w:trPr>
          <w:trHeight w:val="1729" w:hRule="atLeast"/>
          <w:jc w:val="center"/>
        </w:trPr>
        <w:tc>
          <w:tcPr>
            <w:tcW w:w="431" w:type="dxa"/>
            <w:vAlign w:val="center"/>
          </w:tcPr>
          <w:p w14:paraId="78FA7BD2">
            <w:pPr>
              <w:pStyle w:val="28"/>
              <w:adjustRightInd w:val="0"/>
              <w:snapToGrid w:val="0"/>
              <w:spacing w:before="0" w:beforeAutospacing="0" w:after="0" w:afterAutospacing="0"/>
              <w:jc w:val="center"/>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工艺流程和产排污环节</w:t>
            </w:r>
          </w:p>
        </w:tc>
        <w:tc>
          <w:tcPr>
            <w:tcW w:w="8743" w:type="dxa"/>
          </w:tcPr>
          <w:p w14:paraId="5B0E42B3">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营运期生产</w:t>
            </w:r>
            <w:r>
              <w:rPr>
                <w:rFonts w:hint="eastAsia" w:ascii="仿宋" w:hAnsi="仿宋" w:eastAsia="仿宋" w:cs="仿宋"/>
                <w:b/>
                <w:bCs/>
                <w:color w:val="auto"/>
                <w:sz w:val="24"/>
                <w:szCs w:val="24"/>
                <w:highlight w:val="none"/>
              </w:rPr>
              <w:t>工艺流程</w:t>
            </w:r>
          </w:p>
          <w:p w14:paraId="4E5982BD">
            <w:pPr>
              <w:spacing w:line="360" w:lineRule="auto"/>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drawing>
                <wp:inline distT="0" distB="0" distL="114300" distR="114300">
                  <wp:extent cx="5485765" cy="2217420"/>
                  <wp:effectExtent l="0" t="0" r="0" b="0"/>
                  <wp:docPr id="3" name="图片 3" descr="营养土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养土工艺"/>
                          <pic:cNvPicPr>
                            <a:picLocks noChangeAspect="1"/>
                          </pic:cNvPicPr>
                        </pic:nvPicPr>
                        <pic:blipFill>
                          <a:blip r:embed="rId8"/>
                          <a:stretch>
                            <a:fillRect/>
                          </a:stretch>
                        </pic:blipFill>
                        <pic:spPr>
                          <a:xfrm>
                            <a:off x="0" y="0"/>
                            <a:ext cx="5485765" cy="2217420"/>
                          </a:xfrm>
                          <a:prstGeom prst="rect">
                            <a:avLst/>
                          </a:prstGeom>
                        </pic:spPr>
                      </pic:pic>
                    </a:graphicData>
                  </a:graphic>
                </wp:inline>
              </w:drawing>
            </w:r>
          </w:p>
          <w:p w14:paraId="33FDA7DA">
            <w:pPr>
              <w:spacing w:line="24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图2</w:t>
            </w:r>
            <w:r>
              <w:rPr>
                <w:rFonts w:hint="eastAsia" w:ascii="仿宋" w:hAnsi="仿宋" w:eastAsia="仿宋" w:cs="仿宋"/>
                <w:b/>
                <w:bCs/>
                <w:color w:val="auto"/>
                <w:sz w:val="21"/>
                <w:szCs w:val="21"/>
                <w:lang w:val="en-US" w:eastAsia="zh-CN"/>
              </w:rPr>
              <w:t>-2</w:t>
            </w:r>
            <w:r>
              <w:rPr>
                <w:rFonts w:hint="eastAsia" w:ascii="仿宋" w:hAnsi="仿宋" w:eastAsia="仿宋" w:cs="仿宋"/>
                <w:b/>
                <w:bCs/>
                <w:color w:val="auto"/>
                <w:sz w:val="21"/>
                <w:szCs w:val="21"/>
              </w:rPr>
              <w:t xml:space="preserve"> 项目</w:t>
            </w:r>
            <w:r>
              <w:rPr>
                <w:rFonts w:hint="eastAsia" w:ascii="仿宋" w:hAnsi="仿宋" w:eastAsia="仿宋" w:cs="仿宋"/>
                <w:b/>
                <w:bCs/>
                <w:color w:val="auto"/>
                <w:sz w:val="21"/>
                <w:szCs w:val="21"/>
                <w:lang w:val="en-US" w:eastAsia="zh-CN"/>
              </w:rPr>
              <w:t>营运期生产</w:t>
            </w:r>
            <w:r>
              <w:rPr>
                <w:rFonts w:hint="eastAsia" w:ascii="仿宋" w:hAnsi="仿宋" w:eastAsia="仿宋" w:cs="仿宋"/>
                <w:b/>
                <w:bCs/>
                <w:color w:val="auto"/>
                <w:sz w:val="21"/>
                <w:szCs w:val="21"/>
              </w:rPr>
              <w:t>工艺流程图</w:t>
            </w:r>
          </w:p>
          <w:p w14:paraId="0B0E5879">
            <w:pPr>
              <w:keepNext w:val="0"/>
              <w:keepLines w:val="0"/>
              <w:pageBreakBefore w:val="0"/>
              <w:kinsoku/>
              <w:wordWrap/>
              <w:overflowPunct/>
              <w:topLinePunct w:val="0"/>
              <w:autoSpaceDE/>
              <w:autoSpaceDN/>
              <w:bidi w:val="0"/>
              <w:adjustRightInd/>
              <w:spacing w:line="360" w:lineRule="auto"/>
              <w:ind w:right="0"/>
              <w:textAlignment w:val="auto"/>
              <w:rPr>
                <w:rFonts w:hint="eastAsia" w:ascii="仿宋" w:hAnsi="仿宋" w:eastAsia="仿宋" w:cs="仿宋"/>
                <w:b/>
                <w:snapToGrid w:val="0"/>
                <w:color w:val="auto"/>
                <w:kern w:val="0"/>
                <w:sz w:val="24"/>
              </w:rPr>
            </w:pPr>
            <w:r>
              <w:rPr>
                <w:rFonts w:hint="eastAsia" w:ascii="仿宋" w:hAnsi="仿宋" w:eastAsia="仿宋" w:cs="仿宋"/>
                <w:b/>
                <w:bCs/>
                <w:color w:val="auto"/>
                <w:kern w:val="2"/>
                <w:sz w:val="24"/>
                <w:szCs w:val="24"/>
                <w:lang w:val="en-US" w:eastAsia="zh-CN" w:bidi="ar-SA"/>
              </w:rPr>
              <w:t>工艺流程简述：</w:t>
            </w:r>
          </w:p>
          <w:p w14:paraId="205B490C">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（1）原料运输 </w:t>
            </w:r>
          </w:p>
          <w:p w14:paraId="4EBC88A8">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项目污泥由污水处理厂方或其委托的第三方公司负责运输，运输车辆喷洒除臭剂，运输车厢采取全封闭措施防止恶臭逸散，且必须做好防漏措施，不得出现“跑、冒、滴、漏”现象。 </w:t>
            </w:r>
          </w:p>
          <w:p w14:paraId="16F90FDF">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渣土运输车辆需用篷布进行覆盖，以减少运输过程扬尘的产生，不得超载运输、沿路漏撒。同时要求运输路线尽量远离居住区、学校、医院、敏感水域等环境保护目标，以降低对周围环境的不利影响。 </w:t>
            </w:r>
          </w:p>
          <w:p w14:paraId="6716E0A2">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 xml:space="preserve">（2）加料 </w:t>
            </w:r>
          </w:p>
          <w:p w14:paraId="2576F863">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秸秆、草木灰、污泥等进厂后卸在原料库房内。营养土按照污泥：秸秆：草木灰：药渣=6:1:1:1的比例进行配料，土壤改良剂按照污泥：秸秆：草木灰：药渣=1:1:1:1的比例进行配料，利用自动上料机向发酵罐内加入原料，含水率控制＜65%，此工序产生颗粒物以及噪声。 </w:t>
            </w:r>
          </w:p>
          <w:p w14:paraId="396E7623">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（3）高温发酵 </w:t>
            </w:r>
          </w:p>
          <w:p w14:paraId="6F75F51A">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混合料在高温发酵罐进行高温发酵4h左右，设定加热温度在80℃-100℃，</w:t>
            </w:r>
            <w:r>
              <w:rPr>
                <w:rFonts w:hint="eastAsia" w:ascii="仿宋" w:hAnsi="仿宋" w:eastAsia="仿宋" w:cs="仿宋"/>
                <w:sz w:val="24"/>
                <w:szCs w:val="24"/>
                <w:highlight w:val="none"/>
                <w:lang w:val="en-US" w:eastAsia="zh-CN"/>
              </w:rPr>
              <w:t xml:space="preserve">同时通过控制通风量、搅拌频率等手段于1 </w:t>
            </w:r>
            <w:r>
              <w:rPr>
                <w:rFonts w:hint="default" w:ascii="仿宋" w:hAnsi="仿宋" w:eastAsia="仿宋" w:cs="仿宋"/>
                <w:sz w:val="24"/>
                <w:szCs w:val="24"/>
                <w:highlight w:val="none"/>
                <w:lang w:val="en-US" w:eastAsia="zh-CN"/>
              </w:rPr>
              <w:t>-3</w:t>
            </w:r>
            <w:r>
              <w:rPr>
                <w:rFonts w:hint="eastAsia" w:ascii="仿宋" w:hAnsi="仿宋" w:eastAsia="仿宋" w:cs="仿宋"/>
                <w:sz w:val="24"/>
                <w:szCs w:val="24"/>
                <w:highlight w:val="none"/>
                <w:lang w:val="en-US" w:eastAsia="zh-CN"/>
              </w:rPr>
              <w:t>小时之内，消灭有机废弃物中的有害微生物、各种病原体以及虫卵等，此工序产生臭气（氨、硫化氢、臭气浓度）以及噪声。</w:t>
            </w:r>
          </w:p>
          <w:p w14:paraId="5295B2F4">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（4）筛分混合、破碎 </w:t>
            </w:r>
          </w:p>
          <w:p w14:paraId="233D66F8">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物料经发酵熟化后通过皮带运输机输送至料斗，再送至筛分机筛分，经筛分后的细料通过皮带运输机输送至密闭料斗暂存。筛分的大块料采用破碎机破碎，再返回筛分机，此工序产生颗粒物、噪声以及不可降解物，不可降解物为塑料、金属等，属于一般固体废物。 </w:t>
            </w:r>
          </w:p>
          <w:p w14:paraId="21B21BBB">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（5）包装入库 </w:t>
            </w:r>
          </w:p>
          <w:p w14:paraId="495888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b/>
                <w:snapToGrid w:val="0"/>
                <w:color w:val="auto"/>
                <w:kern w:val="0"/>
                <w:sz w:val="21"/>
                <w:szCs w:val="21"/>
                <w:highlight w:val="none"/>
              </w:rPr>
            </w:pPr>
            <w:r>
              <w:rPr>
                <w:rFonts w:hint="eastAsia" w:ascii="仿宋" w:hAnsi="仿宋" w:eastAsia="仿宋" w:cs="仿宋"/>
                <w:color w:val="000000"/>
                <w:kern w:val="0"/>
                <w:sz w:val="24"/>
                <w:szCs w:val="24"/>
                <w:highlight w:val="none"/>
                <w:lang w:val="en-US" w:eastAsia="zh-CN" w:bidi="ar"/>
              </w:rPr>
              <w:t>包装工序采取全自动化操作，包装口与包装袋紧密连接，粉尘产生量极少，可忽略不计。</w:t>
            </w:r>
          </w:p>
          <w:p w14:paraId="362D1C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color w:val="auto"/>
                <w:sz w:val="21"/>
                <w:szCs w:val="21"/>
              </w:rPr>
            </w:pPr>
            <w:r>
              <w:rPr>
                <w:rFonts w:hint="eastAsia" w:ascii="仿宋" w:hAnsi="仿宋" w:eastAsia="仿宋" w:cs="仿宋"/>
                <w:b/>
                <w:snapToGrid w:val="0"/>
                <w:color w:val="auto"/>
                <w:kern w:val="0"/>
                <w:sz w:val="21"/>
                <w:szCs w:val="21"/>
              </w:rPr>
              <w:t>表2-</w:t>
            </w:r>
            <w:r>
              <w:rPr>
                <w:rFonts w:hint="eastAsia" w:ascii="仿宋" w:hAnsi="仿宋" w:eastAsia="仿宋" w:cs="仿宋"/>
                <w:b/>
                <w:snapToGrid w:val="0"/>
                <w:color w:val="auto"/>
                <w:kern w:val="0"/>
                <w:sz w:val="21"/>
                <w:szCs w:val="21"/>
                <w:lang w:val="en-US" w:eastAsia="zh-CN"/>
              </w:rPr>
              <w:t>7</w:t>
            </w:r>
            <w:r>
              <w:rPr>
                <w:rFonts w:hint="eastAsia" w:ascii="仿宋" w:hAnsi="仿宋" w:eastAsia="仿宋" w:cs="仿宋"/>
                <w:b/>
                <w:snapToGrid w:val="0"/>
                <w:color w:val="auto"/>
                <w:kern w:val="0"/>
                <w:sz w:val="21"/>
                <w:szCs w:val="21"/>
              </w:rPr>
              <w:t xml:space="preserve">  </w:t>
            </w:r>
            <w:r>
              <w:rPr>
                <w:rFonts w:hint="eastAsia" w:ascii="仿宋" w:hAnsi="仿宋" w:eastAsia="仿宋" w:cs="仿宋"/>
                <w:b/>
                <w:snapToGrid w:val="0"/>
                <w:color w:val="auto"/>
                <w:kern w:val="0"/>
                <w:sz w:val="21"/>
                <w:szCs w:val="21"/>
                <w:lang w:val="en-US" w:eastAsia="zh-CN"/>
              </w:rPr>
              <w:t xml:space="preserve">  </w:t>
            </w:r>
            <w:r>
              <w:rPr>
                <w:rFonts w:hint="eastAsia" w:ascii="仿宋" w:hAnsi="仿宋" w:eastAsia="仿宋" w:cs="仿宋"/>
                <w:b/>
                <w:color w:val="auto"/>
                <w:sz w:val="21"/>
                <w:szCs w:val="21"/>
              </w:rPr>
              <w:t>本项目生产主要产污环节和排污特征</w:t>
            </w:r>
          </w:p>
          <w:tbl>
            <w:tblPr>
              <w:tblStyle w:val="95"/>
              <w:tblW w:w="5001"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93"/>
              <w:gridCol w:w="1190"/>
              <w:gridCol w:w="1409"/>
              <w:gridCol w:w="3050"/>
              <w:gridCol w:w="2601"/>
            </w:tblGrid>
            <w:tr w14:paraId="606CF8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7" w:type="pct"/>
                  <w:tcBorders>
                    <w:tl2br w:val="nil"/>
                    <w:tr2bl w:val="nil"/>
                  </w:tcBorders>
                  <w:vAlign w:val="center"/>
                </w:tcPr>
                <w:p w14:paraId="0205DC52">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b/>
                      <w:bCs/>
                      <w:spacing w:val="6"/>
                      <w:sz w:val="21"/>
                      <w:szCs w:val="21"/>
                    </w:rPr>
                    <w:t>类型</w:t>
                  </w:r>
                </w:p>
              </w:tc>
              <w:tc>
                <w:tcPr>
                  <w:tcW w:w="688" w:type="pct"/>
                  <w:tcBorders>
                    <w:tl2br w:val="nil"/>
                    <w:tr2bl w:val="nil"/>
                  </w:tcBorders>
                  <w:vAlign w:val="center"/>
                </w:tcPr>
                <w:p w14:paraId="4CEB7761">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b/>
                      <w:bCs/>
                      <w:spacing w:val="5"/>
                      <w:sz w:val="21"/>
                      <w:szCs w:val="21"/>
                    </w:rPr>
                    <w:t>污染源</w:t>
                  </w:r>
                </w:p>
              </w:tc>
              <w:tc>
                <w:tcPr>
                  <w:tcW w:w="815" w:type="pct"/>
                  <w:tcBorders>
                    <w:tl2br w:val="nil"/>
                    <w:tr2bl w:val="nil"/>
                  </w:tcBorders>
                  <w:vAlign w:val="center"/>
                </w:tcPr>
                <w:p w14:paraId="573CD6F5">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b/>
                      <w:bCs/>
                      <w:spacing w:val="5"/>
                      <w:sz w:val="21"/>
                      <w:szCs w:val="21"/>
                    </w:rPr>
                    <w:t>工序</w:t>
                  </w:r>
                </w:p>
              </w:tc>
              <w:tc>
                <w:tcPr>
                  <w:tcW w:w="1764" w:type="pct"/>
                  <w:tcBorders>
                    <w:tl2br w:val="nil"/>
                    <w:tr2bl w:val="nil"/>
                  </w:tcBorders>
                  <w:vAlign w:val="center"/>
                </w:tcPr>
                <w:p w14:paraId="096CCD68">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b/>
                      <w:bCs/>
                      <w:spacing w:val="7"/>
                      <w:sz w:val="21"/>
                      <w:szCs w:val="21"/>
                    </w:rPr>
                    <w:t>主要污染因子</w:t>
                  </w:r>
                </w:p>
              </w:tc>
              <w:tc>
                <w:tcPr>
                  <w:tcW w:w="1504" w:type="pct"/>
                  <w:tcBorders>
                    <w:tl2br w:val="nil"/>
                    <w:tr2bl w:val="nil"/>
                  </w:tcBorders>
                  <w:vAlign w:val="center"/>
                </w:tcPr>
                <w:p w14:paraId="45919B47">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b/>
                      <w:bCs/>
                      <w:spacing w:val="7"/>
                      <w:sz w:val="21"/>
                      <w:szCs w:val="21"/>
                    </w:rPr>
                    <w:t>治理措施及排放去向</w:t>
                  </w:r>
                </w:p>
              </w:tc>
            </w:tr>
            <w:tr w14:paraId="4417B1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7" w:type="pct"/>
                  <w:vMerge w:val="restart"/>
                  <w:tcBorders>
                    <w:tl2br w:val="nil"/>
                    <w:tr2bl w:val="nil"/>
                  </w:tcBorders>
                  <w:vAlign w:val="center"/>
                </w:tcPr>
                <w:p w14:paraId="7F2BDEB7">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废水</w:t>
                  </w:r>
                </w:p>
              </w:tc>
              <w:tc>
                <w:tcPr>
                  <w:tcW w:w="688" w:type="pct"/>
                  <w:tcBorders>
                    <w:tl2br w:val="nil"/>
                    <w:tr2bl w:val="nil"/>
                  </w:tcBorders>
                  <w:vAlign w:val="center"/>
                </w:tcPr>
                <w:p w14:paraId="3BB9764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生活污水</w:t>
                  </w:r>
                </w:p>
              </w:tc>
              <w:tc>
                <w:tcPr>
                  <w:tcW w:w="815" w:type="pct"/>
                  <w:tcBorders>
                    <w:tl2br w:val="nil"/>
                    <w:tr2bl w:val="nil"/>
                  </w:tcBorders>
                  <w:vAlign w:val="center"/>
                </w:tcPr>
                <w:p w14:paraId="27823BD7">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职工生活</w:t>
                  </w:r>
                </w:p>
              </w:tc>
              <w:tc>
                <w:tcPr>
                  <w:tcW w:w="1764" w:type="pct"/>
                  <w:tcBorders>
                    <w:tl2br w:val="nil"/>
                    <w:tr2bl w:val="nil"/>
                  </w:tcBorders>
                  <w:vAlign w:val="center"/>
                </w:tcPr>
                <w:p w14:paraId="4B949C2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pH</w:t>
                  </w:r>
                  <w:r>
                    <w:rPr>
                      <w:rFonts w:hint="eastAsia" w:ascii="仿宋" w:hAnsi="仿宋" w:eastAsia="仿宋" w:cs="仿宋"/>
                      <w:spacing w:val="8"/>
                      <w:sz w:val="21"/>
                      <w:szCs w:val="21"/>
                    </w:rPr>
                    <w:t>、</w:t>
                  </w:r>
                  <w:r>
                    <w:rPr>
                      <w:rFonts w:hint="eastAsia" w:ascii="仿宋" w:hAnsi="仿宋" w:eastAsia="仿宋" w:cs="仿宋"/>
                      <w:sz w:val="21"/>
                      <w:szCs w:val="21"/>
                    </w:rPr>
                    <w:t>COD</w:t>
                  </w:r>
                  <w:r>
                    <w:rPr>
                      <w:rFonts w:hint="eastAsia" w:ascii="仿宋" w:hAnsi="仿宋" w:eastAsia="仿宋" w:cs="仿宋"/>
                      <w:position w:val="-1"/>
                      <w:sz w:val="21"/>
                      <w:szCs w:val="21"/>
                    </w:rPr>
                    <w:t>Cr</w:t>
                  </w:r>
                  <w:r>
                    <w:rPr>
                      <w:rFonts w:hint="eastAsia" w:ascii="仿宋" w:hAnsi="仿宋" w:eastAsia="仿宋" w:cs="仿宋"/>
                      <w:spacing w:val="8"/>
                      <w:sz w:val="21"/>
                      <w:szCs w:val="21"/>
                    </w:rPr>
                    <w:t>、氨氮、</w:t>
                  </w:r>
                  <w:r>
                    <w:rPr>
                      <w:rFonts w:hint="eastAsia" w:ascii="仿宋" w:hAnsi="仿宋" w:eastAsia="仿宋" w:cs="仿宋"/>
                      <w:sz w:val="21"/>
                      <w:szCs w:val="21"/>
                    </w:rPr>
                    <w:t>TP</w:t>
                  </w:r>
                  <w:r>
                    <w:rPr>
                      <w:rFonts w:hint="eastAsia" w:ascii="仿宋" w:hAnsi="仿宋" w:eastAsia="仿宋" w:cs="仿宋"/>
                      <w:spacing w:val="8"/>
                      <w:sz w:val="21"/>
                      <w:szCs w:val="21"/>
                    </w:rPr>
                    <w:t>、</w:t>
                  </w:r>
                  <w:r>
                    <w:rPr>
                      <w:rFonts w:hint="eastAsia" w:ascii="仿宋" w:hAnsi="仿宋" w:eastAsia="仿宋" w:cs="仿宋"/>
                      <w:sz w:val="21"/>
                      <w:szCs w:val="21"/>
                    </w:rPr>
                    <w:t>SS</w:t>
                  </w:r>
                  <w:r>
                    <w:rPr>
                      <w:rFonts w:hint="eastAsia" w:ascii="仿宋" w:hAnsi="仿宋" w:eastAsia="仿宋" w:cs="仿宋"/>
                      <w:spacing w:val="8"/>
                      <w:sz w:val="21"/>
                      <w:szCs w:val="21"/>
                    </w:rPr>
                    <w:t>等</w:t>
                  </w:r>
                </w:p>
              </w:tc>
              <w:tc>
                <w:tcPr>
                  <w:tcW w:w="1504" w:type="pct"/>
                  <w:vMerge w:val="restart"/>
                  <w:tcBorders>
                    <w:tl2br w:val="nil"/>
                    <w:tr2bl w:val="nil"/>
                  </w:tcBorders>
                  <w:vAlign w:val="center"/>
                </w:tcPr>
                <w:p w14:paraId="21398CF1">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生活污水经化粪池预处理后</w:t>
                  </w:r>
                  <w:r>
                    <w:rPr>
                      <w:rFonts w:hint="eastAsia" w:ascii="仿宋" w:hAnsi="仿宋" w:eastAsia="仿宋" w:cs="仿宋"/>
                      <w:spacing w:val="8"/>
                      <w:sz w:val="21"/>
                      <w:szCs w:val="21"/>
                      <w:lang w:eastAsia="zh-CN"/>
                    </w:rPr>
                    <w:t>排入园区污水处理厂，</w:t>
                  </w:r>
                  <w:r>
                    <w:rPr>
                      <w:rFonts w:hint="eastAsia" w:ascii="仿宋" w:hAnsi="仿宋" w:eastAsia="仿宋" w:cs="仿宋"/>
                      <w:spacing w:val="9"/>
                      <w:sz w:val="21"/>
                      <w:szCs w:val="21"/>
                    </w:rPr>
                    <w:t>洗车废水全部回用于混合配料</w:t>
                  </w:r>
                  <w:r>
                    <w:rPr>
                      <w:rFonts w:hint="eastAsia" w:ascii="仿宋" w:hAnsi="仿宋" w:eastAsia="仿宋" w:cs="仿宋"/>
                      <w:spacing w:val="8"/>
                      <w:sz w:val="21"/>
                      <w:szCs w:val="21"/>
                    </w:rPr>
                    <w:t>工序</w:t>
                  </w:r>
                </w:p>
              </w:tc>
            </w:tr>
            <w:tr w14:paraId="0EE028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7" w:type="pct"/>
                  <w:vMerge w:val="continue"/>
                  <w:tcBorders>
                    <w:tl2br w:val="nil"/>
                    <w:tr2bl w:val="nil"/>
                  </w:tcBorders>
                  <w:vAlign w:val="center"/>
                </w:tcPr>
                <w:p w14:paraId="1BF3F2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vAlign w:val="center"/>
                </w:tcPr>
                <w:p w14:paraId="054CAE2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洗车废水</w:t>
                  </w:r>
                </w:p>
              </w:tc>
              <w:tc>
                <w:tcPr>
                  <w:tcW w:w="815" w:type="pct"/>
                  <w:tcBorders>
                    <w:tl2br w:val="nil"/>
                    <w:tr2bl w:val="nil"/>
                  </w:tcBorders>
                  <w:vAlign w:val="center"/>
                </w:tcPr>
                <w:p w14:paraId="7C67CC48">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车辆清洗</w:t>
                  </w:r>
                </w:p>
              </w:tc>
              <w:tc>
                <w:tcPr>
                  <w:tcW w:w="1764" w:type="pct"/>
                  <w:tcBorders>
                    <w:tl2br w:val="nil"/>
                    <w:tr2bl w:val="nil"/>
                  </w:tcBorders>
                  <w:vAlign w:val="center"/>
                </w:tcPr>
                <w:p w14:paraId="42ECECEB">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pH</w:t>
                  </w:r>
                  <w:r>
                    <w:rPr>
                      <w:rFonts w:hint="eastAsia" w:ascii="仿宋" w:hAnsi="仿宋" w:eastAsia="仿宋" w:cs="仿宋"/>
                      <w:spacing w:val="8"/>
                      <w:sz w:val="21"/>
                      <w:szCs w:val="21"/>
                    </w:rPr>
                    <w:t>、</w:t>
                  </w:r>
                  <w:r>
                    <w:rPr>
                      <w:rFonts w:hint="eastAsia" w:ascii="仿宋" w:hAnsi="仿宋" w:eastAsia="仿宋" w:cs="仿宋"/>
                      <w:sz w:val="21"/>
                      <w:szCs w:val="21"/>
                    </w:rPr>
                    <w:t>COD</w:t>
                  </w:r>
                  <w:r>
                    <w:rPr>
                      <w:rFonts w:hint="eastAsia" w:ascii="仿宋" w:hAnsi="仿宋" w:eastAsia="仿宋" w:cs="仿宋"/>
                      <w:position w:val="-1"/>
                      <w:sz w:val="21"/>
                      <w:szCs w:val="21"/>
                    </w:rPr>
                    <w:t>Cr</w:t>
                  </w:r>
                  <w:r>
                    <w:rPr>
                      <w:rFonts w:hint="eastAsia" w:ascii="仿宋" w:hAnsi="仿宋" w:eastAsia="仿宋" w:cs="仿宋"/>
                      <w:spacing w:val="8"/>
                      <w:sz w:val="21"/>
                      <w:szCs w:val="21"/>
                    </w:rPr>
                    <w:t>、氨氮、</w:t>
                  </w:r>
                  <w:r>
                    <w:rPr>
                      <w:rFonts w:hint="eastAsia" w:ascii="仿宋" w:hAnsi="仿宋" w:eastAsia="仿宋" w:cs="仿宋"/>
                      <w:sz w:val="21"/>
                      <w:szCs w:val="21"/>
                    </w:rPr>
                    <w:t>TN</w:t>
                  </w:r>
                  <w:r>
                    <w:rPr>
                      <w:rFonts w:hint="eastAsia" w:ascii="仿宋" w:hAnsi="仿宋" w:eastAsia="仿宋" w:cs="仿宋"/>
                      <w:spacing w:val="8"/>
                      <w:sz w:val="21"/>
                      <w:szCs w:val="21"/>
                    </w:rPr>
                    <w:t>、</w:t>
                  </w:r>
                  <w:r>
                    <w:rPr>
                      <w:rFonts w:hint="eastAsia" w:ascii="仿宋" w:hAnsi="仿宋" w:eastAsia="仿宋" w:cs="仿宋"/>
                      <w:sz w:val="21"/>
                      <w:szCs w:val="21"/>
                    </w:rPr>
                    <w:t>TP</w:t>
                  </w:r>
                  <w:r>
                    <w:rPr>
                      <w:rFonts w:hint="eastAsia" w:ascii="仿宋" w:hAnsi="仿宋" w:eastAsia="仿宋" w:cs="仿宋"/>
                      <w:spacing w:val="8"/>
                      <w:sz w:val="21"/>
                      <w:szCs w:val="21"/>
                    </w:rPr>
                    <w:t>、</w:t>
                  </w:r>
                  <w:r>
                    <w:rPr>
                      <w:rFonts w:hint="eastAsia" w:ascii="仿宋" w:hAnsi="仿宋" w:eastAsia="仿宋" w:cs="仿宋"/>
                      <w:sz w:val="21"/>
                      <w:szCs w:val="21"/>
                    </w:rPr>
                    <w:t>SS</w:t>
                  </w:r>
                  <w:r>
                    <w:rPr>
                      <w:rFonts w:hint="eastAsia" w:ascii="仿宋" w:hAnsi="仿宋" w:eastAsia="仿宋" w:cs="仿宋"/>
                      <w:spacing w:val="8"/>
                      <w:sz w:val="21"/>
                      <w:szCs w:val="21"/>
                    </w:rPr>
                    <w:t>等</w:t>
                  </w:r>
                </w:p>
              </w:tc>
              <w:tc>
                <w:tcPr>
                  <w:tcW w:w="1504" w:type="pct"/>
                  <w:vMerge w:val="continue"/>
                  <w:tcBorders>
                    <w:tl2br w:val="nil"/>
                    <w:tr2bl w:val="nil"/>
                  </w:tcBorders>
                  <w:vAlign w:val="center"/>
                </w:tcPr>
                <w:p w14:paraId="609A9E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r>
            <w:tr w14:paraId="48E53B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27" w:type="pct"/>
                  <w:vMerge w:val="restart"/>
                  <w:tcBorders>
                    <w:tl2br w:val="nil"/>
                    <w:tr2bl w:val="nil"/>
                  </w:tcBorders>
                  <w:vAlign w:val="center"/>
                </w:tcPr>
                <w:p w14:paraId="0C2E9530">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废气</w:t>
                  </w:r>
                </w:p>
              </w:tc>
              <w:tc>
                <w:tcPr>
                  <w:tcW w:w="688" w:type="pct"/>
                  <w:tcBorders>
                    <w:tl2br w:val="nil"/>
                    <w:tr2bl w:val="nil"/>
                  </w:tcBorders>
                  <w:shd w:val="clear" w:color="auto" w:fill="auto"/>
                  <w:vAlign w:val="center"/>
                </w:tcPr>
                <w:p w14:paraId="0FEF4E8C">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8"/>
                      <w:sz w:val="21"/>
                      <w:szCs w:val="21"/>
                      <w:lang w:eastAsia="zh-CN"/>
                    </w:rPr>
                    <w:t>加料废气</w:t>
                  </w:r>
                </w:p>
              </w:tc>
              <w:tc>
                <w:tcPr>
                  <w:tcW w:w="815" w:type="pct"/>
                  <w:tcBorders>
                    <w:tl2br w:val="nil"/>
                    <w:tr2bl w:val="nil"/>
                  </w:tcBorders>
                  <w:shd w:val="clear" w:color="auto" w:fill="auto"/>
                  <w:vAlign w:val="center"/>
                </w:tcPr>
                <w:p w14:paraId="4F9AD355">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6"/>
                      <w:sz w:val="21"/>
                      <w:szCs w:val="21"/>
                    </w:rPr>
                    <w:t>配料混合</w:t>
                  </w:r>
                </w:p>
              </w:tc>
              <w:tc>
                <w:tcPr>
                  <w:tcW w:w="1764" w:type="pct"/>
                  <w:tcBorders>
                    <w:tl2br w:val="nil"/>
                    <w:tr2bl w:val="nil"/>
                  </w:tcBorders>
                  <w:shd w:val="clear" w:color="auto" w:fill="auto"/>
                  <w:vAlign w:val="center"/>
                </w:tcPr>
                <w:p w14:paraId="12605E4D">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1"/>
                      <w:sz w:val="21"/>
                      <w:szCs w:val="21"/>
                    </w:rPr>
                    <w:t>颗粒物</w:t>
                  </w:r>
                  <w:r>
                    <w:rPr>
                      <w:rFonts w:hint="eastAsia" w:ascii="仿宋" w:hAnsi="仿宋" w:eastAsia="仿宋" w:cs="仿宋"/>
                      <w:spacing w:val="6"/>
                      <w:sz w:val="21"/>
                      <w:szCs w:val="21"/>
                    </w:rPr>
                    <w:t>等</w:t>
                  </w:r>
                </w:p>
              </w:tc>
              <w:tc>
                <w:tcPr>
                  <w:tcW w:w="1504" w:type="pct"/>
                  <w:tcBorders>
                    <w:tl2br w:val="nil"/>
                    <w:tr2bl w:val="nil"/>
                  </w:tcBorders>
                  <w:vAlign w:val="center"/>
                </w:tcPr>
                <w:p w14:paraId="5E86834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r>
            <w:tr w14:paraId="728972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227" w:type="pct"/>
                  <w:vMerge w:val="continue"/>
                  <w:tcBorders>
                    <w:tl2br w:val="nil"/>
                    <w:tr2bl w:val="nil"/>
                  </w:tcBorders>
                  <w:vAlign w:val="center"/>
                </w:tcPr>
                <w:p w14:paraId="4ABB31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shd w:val="clear" w:color="auto" w:fill="auto"/>
                  <w:vAlign w:val="center"/>
                </w:tcPr>
                <w:p w14:paraId="7CE06585">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7"/>
                      <w:sz w:val="21"/>
                      <w:szCs w:val="21"/>
                    </w:rPr>
                    <w:t>筛分破碎</w:t>
                  </w:r>
                  <w:r>
                    <w:rPr>
                      <w:rFonts w:hint="eastAsia" w:ascii="仿宋" w:hAnsi="仿宋" w:eastAsia="仿宋" w:cs="仿宋"/>
                      <w:spacing w:val="7"/>
                      <w:sz w:val="21"/>
                      <w:szCs w:val="21"/>
                      <w:lang w:eastAsia="zh-CN"/>
                    </w:rPr>
                    <w:t>废气</w:t>
                  </w:r>
                </w:p>
              </w:tc>
              <w:tc>
                <w:tcPr>
                  <w:tcW w:w="815" w:type="pct"/>
                  <w:tcBorders>
                    <w:tl2br w:val="nil"/>
                    <w:tr2bl w:val="nil"/>
                  </w:tcBorders>
                  <w:shd w:val="clear" w:color="auto" w:fill="auto"/>
                  <w:vAlign w:val="center"/>
                </w:tcPr>
                <w:p w14:paraId="2D9FB3B4">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6"/>
                      <w:sz w:val="21"/>
                      <w:szCs w:val="21"/>
                    </w:rPr>
                    <w:t>筛分破碎</w:t>
                  </w:r>
                </w:p>
              </w:tc>
              <w:tc>
                <w:tcPr>
                  <w:tcW w:w="1764" w:type="pct"/>
                  <w:tcBorders>
                    <w:tl2br w:val="nil"/>
                    <w:tr2bl w:val="nil"/>
                  </w:tcBorders>
                  <w:shd w:val="clear" w:color="auto" w:fill="auto"/>
                  <w:vAlign w:val="center"/>
                </w:tcPr>
                <w:p w14:paraId="6090C3C2">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6"/>
                      <w:sz w:val="21"/>
                      <w:szCs w:val="21"/>
                    </w:rPr>
                    <w:t>颗粒物</w:t>
                  </w:r>
                </w:p>
              </w:tc>
              <w:tc>
                <w:tcPr>
                  <w:tcW w:w="1504" w:type="pct"/>
                  <w:tcBorders>
                    <w:tl2br w:val="nil"/>
                    <w:tr2bl w:val="nil"/>
                  </w:tcBorders>
                  <w:vAlign w:val="center"/>
                </w:tcPr>
                <w:p w14:paraId="0013AA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r>
            <w:tr w14:paraId="2FEC0D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27" w:type="pct"/>
                  <w:vMerge w:val="continue"/>
                  <w:tcBorders>
                    <w:tl2br w:val="nil"/>
                    <w:tr2bl w:val="nil"/>
                  </w:tcBorders>
                  <w:vAlign w:val="center"/>
                </w:tcPr>
                <w:p w14:paraId="0C21A3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shd w:val="clear" w:color="auto" w:fill="auto"/>
                  <w:vAlign w:val="center"/>
                </w:tcPr>
                <w:p w14:paraId="215BCDAE">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6"/>
                      <w:sz w:val="21"/>
                      <w:szCs w:val="21"/>
                    </w:rPr>
                    <w:t>发酵废气</w:t>
                  </w:r>
                </w:p>
              </w:tc>
              <w:tc>
                <w:tcPr>
                  <w:tcW w:w="815" w:type="pct"/>
                  <w:tcBorders>
                    <w:tl2br w:val="nil"/>
                    <w:tr2bl w:val="nil"/>
                  </w:tcBorders>
                  <w:shd w:val="clear" w:color="auto" w:fill="auto"/>
                  <w:vAlign w:val="center"/>
                </w:tcPr>
                <w:p w14:paraId="6565AB56">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7"/>
                      <w:sz w:val="21"/>
                      <w:szCs w:val="21"/>
                      <w:lang w:eastAsia="zh-CN"/>
                    </w:rPr>
                    <w:t>发酵</w:t>
                  </w:r>
                </w:p>
              </w:tc>
              <w:tc>
                <w:tcPr>
                  <w:tcW w:w="1764" w:type="pct"/>
                  <w:tcBorders>
                    <w:tl2br w:val="nil"/>
                    <w:tr2bl w:val="nil"/>
                  </w:tcBorders>
                  <w:shd w:val="clear" w:color="auto" w:fill="auto"/>
                  <w:vAlign w:val="center"/>
                </w:tcPr>
                <w:p w14:paraId="37A983C7">
                  <w:pPr>
                    <w:pStyle w:val="13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spacing w:val="-1"/>
                      <w:sz w:val="21"/>
                      <w:szCs w:val="21"/>
                    </w:rPr>
                    <w:t>恶臭（NH</w:t>
                  </w:r>
                  <w:r>
                    <w:rPr>
                      <w:rFonts w:hint="eastAsia" w:ascii="仿宋" w:hAnsi="仿宋" w:eastAsia="仿宋" w:cs="仿宋"/>
                      <w:spacing w:val="-1"/>
                      <w:position w:val="-1"/>
                      <w:sz w:val="21"/>
                      <w:szCs w:val="21"/>
                    </w:rPr>
                    <w:t>3</w:t>
                  </w:r>
                  <w:r>
                    <w:rPr>
                      <w:rFonts w:hint="eastAsia" w:ascii="仿宋" w:hAnsi="仿宋" w:eastAsia="仿宋" w:cs="仿宋"/>
                      <w:spacing w:val="-1"/>
                      <w:sz w:val="21"/>
                      <w:szCs w:val="21"/>
                    </w:rPr>
                    <w:t>、H</w:t>
                  </w:r>
                  <w:r>
                    <w:rPr>
                      <w:rFonts w:hint="eastAsia" w:ascii="仿宋" w:hAnsi="仿宋" w:eastAsia="仿宋" w:cs="仿宋"/>
                      <w:spacing w:val="-1"/>
                      <w:position w:val="-1"/>
                      <w:sz w:val="21"/>
                      <w:szCs w:val="21"/>
                    </w:rPr>
                    <w:t>2</w:t>
                  </w:r>
                  <w:r>
                    <w:rPr>
                      <w:rFonts w:hint="eastAsia" w:ascii="仿宋" w:hAnsi="仿宋" w:eastAsia="仿宋" w:cs="仿宋"/>
                      <w:spacing w:val="-1"/>
                      <w:sz w:val="21"/>
                      <w:szCs w:val="21"/>
                    </w:rPr>
                    <w:t>S、臭气浓度）</w:t>
                  </w:r>
                  <w:r>
                    <w:rPr>
                      <w:rFonts w:hint="eastAsia" w:ascii="仿宋" w:hAnsi="仿宋" w:eastAsia="仿宋" w:cs="仿宋"/>
                      <w:spacing w:val="7"/>
                      <w:sz w:val="21"/>
                      <w:szCs w:val="21"/>
                    </w:rPr>
                    <w:t>等</w:t>
                  </w:r>
                </w:p>
              </w:tc>
              <w:tc>
                <w:tcPr>
                  <w:tcW w:w="1504" w:type="pct"/>
                  <w:tcBorders>
                    <w:tl2br w:val="nil"/>
                    <w:tr2bl w:val="nil"/>
                  </w:tcBorders>
                  <w:vAlign w:val="center"/>
                </w:tcPr>
                <w:p w14:paraId="1C06B5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r>
            <w:tr w14:paraId="40BC22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7" w:type="pct"/>
                  <w:vMerge w:val="restart"/>
                  <w:tcBorders>
                    <w:tl2br w:val="nil"/>
                    <w:tr2bl w:val="nil"/>
                  </w:tcBorders>
                  <w:vAlign w:val="center"/>
                </w:tcPr>
                <w:p w14:paraId="7287937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固废</w:t>
                  </w:r>
                </w:p>
              </w:tc>
              <w:tc>
                <w:tcPr>
                  <w:tcW w:w="688" w:type="pct"/>
                  <w:tcBorders>
                    <w:tl2br w:val="nil"/>
                    <w:tr2bl w:val="nil"/>
                  </w:tcBorders>
                  <w:vAlign w:val="center"/>
                </w:tcPr>
                <w:p w14:paraId="20EA99A8">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不可降解物</w:t>
                  </w:r>
                </w:p>
              </w:tc>
              <w:tc>
                <w:tcPr>
                  <w:tcW w:w="815" w:type="pct"/>
                  <w:tcBorders>
                    <w:tl2br w:val="nil"/>
                    <w:tr2bl w:val="nil"/>
                  </w:tcBorders>
                  <w:vAlign w:val="center"/>
                </w:tcPr>
                <w:p w14:paraId="29795970">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筛分</w:t>
                  </w:r>
                </w:p>
              </w:tc>
              <w:tc>
                <w:tcPr>
                  <w:tcW w:w="1764" w:type="pct"/>
                  <w:tcBorders>
                    <w:tl2br w:val="nil"/>
                    <w:tr2bl w:val="nil"/>
                  </w:tcBorders>
                  <w:vAlign w:val="center"/>
                </w:tcPr>
                <w:p w14:paraId="0A03FE2A">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塑料、金属等</w:t>
                  </w:r>
                </w:p>
              </w:tc>
              <w:tc>
                <w:tcPr>
                  <w:tcW w:w="1504" w:type="pct"/>
                  <w:tcBorders>
                    <w:tl2br w:val="nil"/>
                    <w:tr2bl w:val="nil"/>
                  </w:tcBorders>
                  <w:vAlign w:val="center"/>
                </w:tcPr>
                <w:p w14:paraId="137A543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外运综合处置</w:t>
                  </w:r>
                </w:p>
              </w:tc>
            </w:tr>
            <w:tr w14:paraId="2859575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7" w:type="pct"/>
                  <w:vMerge w:val="continue"/>
                  <w:tcBorders>
                    <w:tl2br w:val="nil"/>
                    <w:tr2bl w:val="nil"/>
                  </w:tcBorders>
                  <w:vAlign w:val="center"/>
                </w:tcPr>
                <w:p w14:paraId="7D5110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vAlign w:val="center"/>
                </w:tcPr>
                <w:p w14:paraId="16245880">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一般废包装物</w:t>
                  </w:r>
                </w:p>
              </w:tc>
              <w:tc>
                <w:tcPr>
                  <w:tcW w:w="815" w:type="pct"/>
                  <w:tcBorders>
                    <w:tl2br w:val="nil"/>
                    <w:tr2bl w:val="nil"/>
                  </w:tcBorders>
                  <w:vAlign w:val="center"/>
                </w:tcPr>
                <w:p w14:paraId="1EEAD114">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原料包装</w:t>
                  </w:r>
                </w:p>
              </w:tc>
              <w:tc>
                <w:tcPr>
                  <w:tcW w:w="1764" w:type="pct"/>
                  <w:tcBorders>
                    <w:tl2br w:val="nil"/>
                    <w:tr2bl w:val="nil"/>
                  </w:tcBorders>
                  <w:vAlign w:val="center"/>
                </w:tcPr>
                <w:p w14:paraId="64689FC7">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塑料袋、绳、桶等</w:t>
                  </w:r>
                </w:p>
              </w:tc>
              <w:tc>
                <w:tcPr>
                  <w:tcW w:w="1504" w:type="pct"/>
                  <w:tcBorders>
                    <w:tl2br w:val="nil"/>
                    <w:tr2bl w:val="nil"/>
                  </w:tcBorders>
                  <w:vAlign w:val="center"/>
                </w:tcPr>
                <w:p w14:paraId="58FA5AC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外运综合处置</w:t>
                  </w:r>
                </w:p>
              </w:tc>
            </w:tr>
            <w:tr w14:paraId="7D7B00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7" w:type="pct"/>
                  <w:vMerge w:val="continue"/>
                  <w:tcBorders>
                    <w:tl2br w:val="nil"/>
                    <w:tr2bl w:val="nil"/>
                  </w:tcBorders>
                  <w:vAlign w:val="center"/>
                </w:tcPr>
                <w:p w14:paraId="74CD61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vAlign w:val="center"/>
                </w:tcPr>
                <w:p w14:paraId="2411694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废布袋</w:t>
                  </w:r>
                </w:p>
              </w:tc>
              <w:tc>
                <w:tcPr>
                  <w:tcW w:w="815" w:type="pct"/>
                  <w:tcBorders>
                    <w:tl2br w:val="nil"/>
                    <w:tr2bl w:val="nil"/>
                  </w:tcBorders>
                  <w:vAlign w:val="center"/>
                </w:tcPr>
                <w:p w14:paraId="1A3EAF7E">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废气处理</w:t>
                  </w:r>
                </w:p>
              </w:tc>
              <w:tc>
                <w:tcPr>
                  <w:tcW w:w="1764" w:type="pct"/>
                  <w:tcBorders>
                    <w:tl2br w:val="nil"/>
                    <w:tr2bl w:val="nil"/>
                  </w:tcBorders>
                  <w:vAlign w:val="center"/>
                </w:tcPr>
                <w:p w14:paraId="4C1C4E78">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废编织物</w:t>
                  </w:r>
                </w:p>
              </w:tc>
              <w:tc>
                <w:tcPr>
                  <w:tcW w:w="1504" w:type="pct"/>
                  <w:tcBorders>
                    <w:tl2br w:val="nil"/>
                    <w:tr2bl w:val="nil"/>
                  </w:tcBorders>
                  <w:vAlign w:val="center"/>
                </w:tcPr>
                <w:p w14:paraId="7BD51B9F">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外运综合处置</w:t>
                  </w:r>
                </w:p>
              </w:tc>
            </w:tr>
            <w:tr w14:paraId="6D77EEF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27" w:type="pct"/>
                  <w:vMerge w:val="continue"/>
                  <w:tcBorders>
                    <w:tl2br w:val="nil"/>
                    <w:tr2bl w:val="nil"/>
                  </w:tcBorders>
                  <w:vAlign w:val="center"/>
                </w:tcPr>
                <w:p w14:paraId="068566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vAlign w:val="center"/>
                </w:tcPr>
                <w:p w14:paraId="62326168">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废机油及含油包</w:t>
                  </w:r>
                  <w:r>
                    <w:rPr>
                      <w:rFonts w:hint="eastAsia" w:ascii="仿宋" w:hAnsi="仿宋" w:eastAsia="仿宋" w:cs="仿宋"/>
                      <w:spacing w:val="5"/>
                      <w:sz w:val="21"/>
                      <w:szCs w:val="21"/>
                    </w:rPr>
                    <w:t>装桶</w:t>
                  </w:r>
                </w:p>
              </w:tc>
              <w:tc>
                <w:tcPr>
                  <w:tcW w:w="815" w:type="pct"/>
                  <w:tcBorders>
                    <w:tl2br w:val="nil"/>
                    <w:tr2bl w:val="nil"/>
                  </w:tcBorders>
                  <w:vAlign w:val="center"/>
                </w:tcPr>
                <w:p w14:paraId="7AEC4D26">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机械维护</w:t>
                  </w:r>
                </w:p>
              </w:tc>
              <w:tc>
                <w:tcPr>
                  <w:tcW w:w="1764" w:type="pct"/>
                  <w:tcBorders>
                    <w:tl2br w:val="nil"/>
                    <w:tr2bl w:val="nil"/>
                  </w:tcBorders>
                  <w:vAlign w:val="center"/>
                </w:tcPr>
                <w:p w14:paraId="28B41FE6">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废矿物油</w:t>
                  </w:r>
                </w:p>
              </w:tc>
              <w:tc>
                <w:tcPr>
                  <w:tcW w:w="1504" w:type="pct"/>
                  <w:tcBorders>
                    <w:tl2br w:val="nil"/>
                    <w:tr2bl w:val="nil"/>
                  </w:tcBorders>
                  <w:vAlign w:val="center"/>
                </w:tcPr>
                <w:p w14:paraId="5DF44009">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9"/>
                      <w:sz w:val="21"/>
                      <w:szCs w:val="21"/>
                    </w:rPr>
                    <w:t>委托有资质单位安全处置</w:t>
                  </w:r>
                </w:p>
              </w:tc>
            </w:tr>
            <w:tr w14:paraId="11FE16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7" w:type="pct"/>
                  <w:vMerge w:val="continue"/>
                  <w:tcBorders>
                    <w:tl2br w:val="nil"/>
                    <w:tr2bl w:val="nil"/>
                  </w:tcBorders>
                  <w:vAlign w:val="center"/>
                </w:tcPr>
                <w:p w14:paraId="39B495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p>
              </w:tc>
              <w:tc>
                <w:tcPr>
                  <w:tcW w:w="688" w:type="pct"/>
                  <w:tcBorders>
                    <w:tl2br w:val="nil"/>
                    <w:tr2bl w:val="nil"/>
                  </w:tcBorders>
                  <w:vAlign w:val="center"/>
                </w:tcPr>
                <w:p w14:paraId="518D71A2">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生活垃圾</w:t>
                  </w:r>
                </w:p>
              </w:tc>
              <w:tc>
                <w:tcPr>
                  <w:tcW w:w="815" w:type="pct"/>
                  <w:tcBorders>
                    <w:tl2br w:val="nil"/>
                    <w:tr2bl w:val="nil"/>
                  </w:tcBorders>
                  <w:vAlign w:val="center"/>
                </w:tcPr>
                <w:p w14:paraId="67FC4642">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职工生活</w:t>
                  </w:r>
                </w:p>
              </w:tc>
              <w:tc>
                <w:tcPr>
                  <w:tcW w:w="1764" w:type="pct"/>
                  <w:tcBorders>
                    <w:tl2br w:val="nil"/>
                    <w:tr2bl w:val="nil"/>
                  </w:tcBorders>
                  <w:vAlign w:val="center"/>
                </w:tcPr>
                <w:p w14:paraId="284FF753">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纸屑等</w:t>
                  </w:r>
                </w:p>
              </w:tc>
              <w:tc>
                <w:tcPr>
                  <w:tcW w:w="1504" w:type="pct"/>
                  <w:tcBorders>
                    <w:tl2br w:val="nil"/>
                    <w:tr2bl w:val="nil"/>
                  </w:tcBorders>
                  <w:vAlign w:val="center"/>
                </w:tcPr>
                <w:p w14:paraId="30248244">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环卫部门定期清运</w:t>
                  </w:r>
                </w:p>
              </w:tc>
            </w:tr>
            <w:tr w14:paraId="070D2F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27" w:type="pct"/>
                  <w:tcBorders>
                    <w:tl2br w:val="nil"/>
                    <w:tr2bl w:val="nil"/>
                  </w:tcBorders>
                  <w:vAlign w:val="center"/>
                </w:tcPr>
                <w:p w14:paraId="4BD3E529">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噪声</w:t>
                  </w:r>
                </w:p>
              </w:tc>
              <w:tc>
                <w:tcPr>
                  <w:tcW w:w="688" w:type="pct"/>
                  <w:tcBorders>
                    <w:tl2br w:val="nil"/>
                    <w:tr2bl w:val="nil"/>
                  </w:tcBorders>
                  <w:vAlign w:val="center"/>
                </w:tcPr>
                <w:p w14:paraId="647C3A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LAeq</w:t>
                  </w:r>
                </w:p>
              </w:tc>
              <w:tc>
                <w:tcPr>
                  <w:tcW w:w="815" w:type="pct"/>
                  <w:tcBorders>
                    <w:tl2br w:val="nil"/>
                    <w:tr2bl w:val="nil"/>
                  </w:tcBorders>
                  <w:vAlign w:val="center"/>
                </w:tcPr>
                <w:p w14:paraId="71C6FB11">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设备运行</w:t>
                  </w:r>
                </w:p>
              </w:tc>
              <w:tc>
                <w:tcPr>
                  <w:tcW w:w="1764" w:type="pct"/>
                  <w:tcBorders>
                    <w:tl2br w:val="nil"/>
                    <w:tr2bl w:val="nil"/>
                  </w:tcBorders>
                  <w:vAlign w:val="center"/>
                </w:tcPr>
                <w:p w14:paraId="3A8C1E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LAeq</w:t>
                  </w:r>
                </w:p>
              </w:tc>
              <w:tc>
                <w:tcPr>
                  <w:tcW w:w="1504" w:type="pct"/>
                  <w:tcBorders>
                    <w:tl2br w:val="nil"/>
                    <w:tr2bl w:val="nil"/>
                  </w:tcBorders>
                  <w:vAlign w:val="center"/>
                </w:tcPr>
                <w:p w14:paraId="0B4D711D">
                  <w:pPr>
                    <w:pStyle w:val="136"/>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sz w:val="21"/>
                      <w:szCs w:val="21"/>
                    </w:rPr>
                  </w:pPr>
                  <w:r>
                    <w:rPr>
                      <w:rFonts w:hint="eastAsia" w:ascii="仿宋" w:hAnsi="仿宋" w:eastAsia="仿宋" w:cs="仿宋"/>
                      <w:spacing w:val="9"/>
                      <w:sz w:val="21"/>
                      <w:szCs w:val="21"/>
                    </w:rPr>
                    <w:t>采购低噪声设备、减振隔声等</w:t>
                  </w:r>
                </w:p>
              </w:tc>
            </w:tr>
          </w:tbl>
          <w:p w14:paraId="5CA53CA3">
            <w:pPr>
              <w:pStyle w:val="10"/>
              <w:rPr>
                <w:rFonts w:hint="eastAsia" w:ascii="仿宋" w:hAnsi="仿宋" w:eastAsia="仿宋" w:cs="仿宋"/>
                <w:b w:val="0"/>
                <w:bCs w:val="0"/>
                <w:color w:val="auto"/>
              </w:rPr>
            </w:pPr>
          </w:p>
        </w:tc>
      </w:tr>
      <w:tr w14:paraId="2EDF1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1" w:type="dxa"/>
            <w:bottom w:w="57" w:type="dxa"/>
            <w:right w:w="51" w:type="dxa"/>
          </w:tblCellMar>
        </w:tblPrEx>
        <w:trPr>
          <w:trHeight w:val="4792" w:hRule="atLeast"/>
          <w:jc w:val="center"/>
        </w:trPr>
        <w:tc>
          <w:tcPr>
            <w:tcW w:w="431" w:type="dxa"/>
            <w:vAlign w:val="center"/>
          </w:tcPr>
          <w:p w14:paraId="69E2679C">
            <w:pPr>
              <w:pStyle w:val="28"/>
              <w:adjustRightInd w:val="0"/>
              <w:snapToGrid w:val="0"/>
              <w:spacing w:before="0" w:beforeAutospacing="0" w:after="0" w:afterAutospacing="0"/>
              <w:jc w:val="center"/>
              <w:rPr>
                <w:rFonts w:hint="eastAsia" w:ascii="仿宋" w:hAnsi="仿宋" w:eastAsia="仿宋" w:cs="仿宋"/>
                <w:color w:val="auto"/>
                <w:sz w:val="24"/>
                <w:szCs w:val="24"/>
                <w:highlight w:val="none"/>
              </w:rPr>
            </w:pPr>
            <w:r>
              <w:rPr>
                <w:rFonts w:hint="eastAsia" w:ascii="仿宋" w:hAnsi="仿宋" w:eastAsia="仿宋" w:cs="仿宋"/>
                <w:bCs/>
                <w:color w:val="auto"/>
                <w:kern w:val="2"/>
                <w:sz w:val="24"/>
                <w:szCs w:val="24"/>
                <w:highlight w:val="none"/>
              </w:rPr>
              <w:t>与项目有关的原有环境污染问题</w:t>
            </w:r>
          </w:p>
        </w:tc>
        <w:tc>
          <w:tcPr>
            <w:tcW w:w="8743" w:type="dxa"/>
            <w:vAlign w:val="center"/>
          </w:tcPr>
          <w:p w14:paraId="28B8C1DC">
            <w:pPr>
              <w:pStyle w:val="49"/>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bCs/>
                <w:color w:val="auto"/>
                <w:kern w:val="2"/>
                <w:sz w:val="24"/>
                <w:szCs w:val="24"/>
                <w:highlight w:val="none"/>
                <w:lang w:val="en-US" w:eastAsia="zh-CN" w:bidi="ar-SA"/>
              </w:rPr>
              <w:t>本项目为新建项目，根据现场勘查，现有为空置厂房，无原有环境污染问题。</w:t>
            </w:r>
          </w:p>
        </w:tc>
      </w:tr>
    </w:tbl>
    <w:p w14:paraId="4EE7A94E">
      <w:pPr>
        <w:pStyle w:val="28"/>
        <w:jc w:val="center"/>
        <w:rPr>
          <w:rFonts w:hint="eastAsia" w:ascii="仿宋" w:hAnsi="仿宋" w:eastAsia="仿宋" w:cs="仿宋"/>
          <w:snapToGrid w:val="0"/>
          <w:color w:val="FF0000"/>
          <w:sz w:val="36"/>
          <w:szCs w:val="36"/>
        </w:rPr>
        <w:sectPr>
          <w:pgSz w:w="11906" w:h="16838"/>
          <w:pgMar w:top="1701" w:right="1417" w:bottom="1701" w:left="1417" w:header="851" w:footer="851" w:gutter="0"/>
          <w:pgBorders>
            <w:top w:val="none" w:sz="0" w:space="0"/>
            <w:left w:val="none" w:sz="0" w:space="0"/>
            <w:bottom w:val="none" w:sz="0" w:space="0"/>
            <w:right w:val="none" w:sz="0" w:space="0"/>
          </w:pgBorders>
          <w:cols w:space="720" w:num="1"/>
          <w:docGrid w:linePitch="312" w:charSpace="0"/>
        </w:sectPr>
      </w:pPr>
    </w:p>
    <w:p w14:paraId="2B19AF76">
      <w:pPr>
        <w:pStyle w:val="28"/>
        <w:spacing w:before="0" w:beforeAutospacing="0" w:after="0" w:afterAutospacing="0"/>
        <w:jc w:val="center"/>
        <w:outlineLvl w:val="0"/>
        <w:rPr>
          <w:rFonts w:hint="eastAsia" w:ascii="仿宋" w:hAnsi="仿宋" w:eastAsia="仿宋" w:cs="仿宋"/>
          <w:b/>
          <w:bCs/>
          <w:snapToGrid w:val="0"/>
          <w:color w:val="FF0000"/>
          <w:sz w:val="30"/>
          <w:szCs w:val="30"/>
        </w:rPr>
      </w:pPr>
      <w:r>
        <w:rPr>
          <w:rFonts w:hint="eastAsia" w:ascii="仿宋" w:hAnsi="仿宋" w:eastAsia="仿宋" w:cs="仿宋"/>
          <w:b/>
          <w:bCs/>
          <w:snapToGrid w:val="0"/>
          <w:color w:val="auto"/>
          <w:sz w:val="30"/>
          <w:szCs w:val="30"/>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473"/>
      </w:tblGrid>
      <w:tr w14:paraId="1FCA6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17" w:type="dxa"/>
            <w:vAlign w:val="center"/>
          </w:tcPr>
          <w:p w14:paraId="091338BA">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区域环境质量现状</w:t>
            </w:r>
          </w:p>
        </w:tc>
        <w:tc>
          <w:tcPr>
            <w:tcW w:w="8473" w:type="dxa"/>
            <w:vAlign w:val="center"/>
          </w:tcPr>
          <w:p w14:paraId="4A0380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w:t>
            </w:r>
            <w:r>
              <w:rPr>
                <w:rFonts w:hint="eastAsia" w:ascii="仿宋" w:hAnsi="仿宋" w:eastAsia="仿宋" w:cs="仿宋"/>
                <w:b/>
                <w:bCs/>
                <w:color w:val="auto"/>
                <w:sz w:val="24"/>
                <w:szCs w:val="24"/>
              </w:rPr>
              <w:t>环境空气</w:t>
            </w:r>
            <w:r>
              <w:rPr>
                <w:rFonts w:hint="eastAsia" w:ascii="仿宋" w:hAnsi="仿宋" w:eastAsia="仿宋" w:cs="仿宋"/>
                <w:b/>
                <w:bCs/>
                <w:color w:val="auto"/>
                <w:sz w:val="24"/>
                <w:szCs w:val="24"/>
                <w:lang w:val="en-US" w:eastAsia="zh-CN"/>
              </w:rPr>
              <w:t>质量</w:t>
            </w:r>
          </w:p>
          <w:p w14:paraId="3FCE5DD0">
            <w:pPr>
              <w:pStyle w:val="49"/>
              <w:spacing w:line="360" w:lineRule="auto"/>
              <w:ind w:firstLine="480" w:firstLineChars="200"/>
              <w:jc w:val="both"/>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b/>
                <w:bCs/>
                <w:color w:val="auto"/>
                <w:sz w:val="24"/>
              </w:rPr>
              <w:t>大气环境质量现状</w:t>
            </w:r>
          </w:p>
          <w:p w14:paraId="7220F4A2">
            <w:pPr>
              <w:widowControl/>
              <w:shd w:val="clear" w:color="auto" w:fill="FFFFFF"/>
              <w:spacing w:line="360" w:lineRule="auto"/>
              <w:ind w:firstLine="640"/>
              <w:rPr>
                <w:rFonts w:hint="eastAsia" w:ascii="仿宋" w:hAnsi="仿宋" w:eastAsia="仿宋" w:cs="仿宋"/>
                <w:color w:val="auto"/>
                <w:sz w:val="24"/>
              </w:rPr>
            </w:pPr>
            <w:r>
              <w:rPr>
                <w:rFonts w:hint="eastAsia" w:ascii="仿宋" w:hAnsi="仿宋" w:eastAsia="仿宋" w:cs="仿宋"/>
                <w:color w:val="auto"/>
                <w:sz w:val="24"/>
                <w:szCs w:val="24"/>
                <w:highlight w:val="none"/>
                <w:lang w:val="en-US" w:eastAsia="zh-CN"/>
              </w:rPr>
              <w:t>根据《2023年淮南市生态环境质量状况公报》，</w:t>
            </w:r>
            <w:r>
              <w:rPr>
                <w:rFonts w:hint="eastAsia" w:ascii="仿宋" w:hAnsi="仿宋" w:eastAsia="仿宋" w:cs="仿宋"/>
                <w:color w:val="auto"/>
                <w:sz w:val="24"/>
                <w:szCs w:val="24"/>
                <w:highlight w:val="none"/>
              </w:rPr>
              <w:t>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w:t>
            </w:r>
            <w:r>
              <w:rPr>
                <w:rFonts w:hint="eastAsia" w:ascii="仿宋" w:hAnsi="仿宋" w:eastAsia="仿宋" w:cs="仿宋"/>
                <w:color w:val="auto"/>
                <w:kern w:val="0"/>
                <w:sz w:val="24"/>
                <w:highlight w:val="none"/>
                <w:lang w:eastAsia="zh-CN"/>
              </w:rPr>
              <w:t>根据质量状况公报结果，</w:t>
            </w:r>
            <w:r>
              <w:rPr>
                <w:rFonts w:hint="eastAsia" w:ascii="仿宋" w:hAnsi="仿宋" w:eastAsia="仿宋" w:cs="仿宋"/>
                <w:color w:val="auto"/>
                <w:kern w:val="0"/>
                <w:sz w:val="24"/>
                <w:highlight w:val="none"/>
              </w:rPr>
              <w:t>淮南市属于环境空气质量不达标区域，超标污染物为细颗粒物（</w:t>
            </w:r>
            <w:r>
              <w:rPr>
                <w:rFonts w:hint="eastAsia" w:ascii="仿宋" w:hAnsi="仿宋" w:eastAsia="仿宋" w:cs="仿宋"/>
                <w:color w:val="auto"/>
                <w:kern w:val="0"/>
                <w:sz w:val="24"/>
                <w:highlight w:val="none"/>
                <w:lang w:eastAsia="zh-CN"/>
              </w:rPr>
              <w:t>PM</w:t>
            </w:r>
            <w:r>
              <w:rPr>
                <w:rFonts w:hint="eastAsia" w:ascii="仿宋" w:hAnsi="仿宋" w:eastAsia="仿宋" w:cs="仿宋"/>
                <w:color w:val="auto"/>
                <w:kern w:val="0"/>
                <w:sz w:val="24"/>
                <w:highlight w:val="none"/>
                <w:vertAlign w:val="subscript"/>
                <w:lang w:eastAsia="zh-CN"/>
              </w:rPr>
              <w:t>2.5</w:t>
            </w:r>
            <w:r>
              <w:rPr>
                <w:rFonts w:hint="eastAsia" w:ascii="仿宋" w:hAnsi="仿宋" w:eastAsia="仿宋" w:cs="仿宋"/>
                <w:color w:val="auto"/>
                <w:kern w:val="0"/>
                <w:sz w:val="24"/>
                <w:highlight w:val="none"/>
              </w:rPr>
              <w:t>）</w:t>
            </w:r>
            <w:r>
              <w:rPr>
                <w:rFonts w:hint="eastAsia" w:ascii="仿宋" w:hAnsi="仿宋" w:eastAsia="仿宋" w:cs="仿宋"/>
                <w:color w:val="auto"/>
                <w:sz w:val="24"/>
              </w:rPr>
              <w:t>。</w:t>
            </w:r>
          </w:p>
          <w:p w14:paraId="013F55C3">
            <w:pPr>
              <w:jc w:val="center"/>
              <w:rPr>
                <w:rFonts w:hint="eastAsia" w:ascii="仿宋" w:hAnsi="仿宋" w:eastAsia="仿宋" w:cs="仿宋"/>
                <w:b/>
                <w:bCs/>
                <w:color w:val="auto"/>
                <w:szCs w:val="21"/>
              </w:rPr>
            </w:pPr>
            <w:r>
              <w:rPr>
                <w:rFonts w:hint="eastAsia" w:ascii="仿宋" w:hAnsi="仿宋" w:eastAsia="仿宋" w:cs="仿宋"/>
                <w:b/>
                <w:bCs/>
                <w:color w:val="auto"/>
                <w:szCs w:val="21"/>
              </w:rPr>
              <w:t>表3-1  基本污染物环境质量现状评价表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913"/>
              <w:gridCol w:w="1400"/>
              <w:gridCol w:w="1445"/>
              <w:gridCol w:w="1275"/>
              <w:gridCol w:w="1233"/>
            </w:tblGrid>
            <w:tr w14:paraId="06727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9" w:type="pct"/>
                  <w:tcBorders>
                    <w:tl2br w:val="nil"/>
                    <w:tr2bl w:val="nil"/>
                  </w:tcBorders>
                  <w:noWrap w:val="0"/>
                  <w:vAlign w:val="center"/>
                </w:tcPr>
                <w:p w14:paraId="1DC4CB8F">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污染物</w:t>
                  </w:r>
                </w:p>
              </w:tc>
              <w:tc>
                <w:tcPr>
                  <w:tcW w:w="1158" w:type="pct"/>
                  <w:tcBorders>
                    <w:tl2br w:val="nil"/>
                    <w:tr2bl w:val="nil"/>
                  </w:tcBorders>
                  <w:noWrap w:val="0"/>
                  <w:vAlign w:val="center"/>
                </w:tcPr>
                <w:p w14:paraId="591159E7">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年评价指标</w:t>
                  </w:r>
                </w:p>
              </w:tc>
              <w:tc>
                <w:tcPr>
                  <w:tcW w:w="848" w:type="pct"/>
                  <w:tcBorders>
                    <w:tl2br w:val="nil"/>
                    <w:tr2bl w:val="nil"/>
                  </w:tcBorders>
                  <w:noWrap w:val="0"/>
                  <w:vAlign w:val="center"/>
                </w:tcPr>
                <w:p w14:paraId="68F355A3">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lang w:val="en-US" w:eastAsia="zh-CN" w:bidi="ar"/>
                    </w:rPr>
                  </w:pPr>
                  <w:r>
                    <w:rPr>
                      <w:rFonts w:hint="eastAsia" w:ascii="仿宋" w:hAnsi="仿宋" w:eastAsia="仿宋" w:cs="仿宋"/>
                      <w:b/>
                      <w:bCs w:val="0"/>
                      <w:color w:val="auto"/>
                      <w:kern w:val="2"/>
                      <w:sz w:val="21"/>
                      <w:szCs w:val="21"/>
                      <w:highlight w:val="none"/>
                      <w:lang w:val="en-US" w:eastAsia="zh-CN" w:bidi="ar"/>
                    </w:rPr>
                    <w:t>现状浓度/</w:t>
                  </w:r>
                </w:p>
                <w:p w14:paraId="7E607633">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（μg/m³）</w:t>
                  </w:r>
                </w:p>
              </w:tc>
              <w:tc>
                <w:tcPr>
                  <w:tcW w:w="875" w:type="pct"/>
                  <w:tcBorders>
                    <w:tl2br w:val="nil"/>
                    <w:tr2bl w:val="nil"/>
                  </w:tcBorders>
                  <w:noWrap w:val="0"/>
                  <w:vAlign w:val="center"/>
                </w:tcPr>
                <w:p w14:paraId="3C5D3182">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lang w:val="en-US" w:eastAsia="zh-CN" w:bidi="ar"/>
                    </w:rPr>
                  </w:pPr>
                  <w:r>
                    <w:rPr>
                      <w:rFonts w:hint="eastAsia" w:ascii="仿宋" w:hAnsi="仿宋" w:eastAsia="仿宋" w:cs="仿宋"/>
                      <w:b/>
                      <w:bCs w:val="0"/>
                      <w:color w:val="auto"/>
                      <w:kern w:val="2"/>
                      <w:sz w:val="21"/>
                      <w:szCs w:val="21"/>
                      <w:highlight w:val="none"/>
                      <w:lang w:val="en-US" w:eastAsia="zh-CN" w:bidi="ar"/>
                    </w:rPr>
                    <w:t>标准值/</w:t>
                  </w:r>
                </w:p>
                <w:p w14:paraId="715F2382">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（μg/m³）</w:t>
                  </w:r>
                </w:p>
              </w:tc>
              <w:tc>
                <w:tcPr>
                  <w:tcW w:w="772" w:type="pct"/>
                  <w:tcBorders>
                    <w:tl2br w:val="nil"/>
                    <w:tr2bl w:val="nil"/>
                  </w:tcBorders>
                  <w:noWrap w:val="0"/>
                  <w:vAlign w:val="center"/>
                </w:tcPr>
                <w:p w14:paraId="28ECC458">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占标率/%</w:t>
                  </w:r>
                </w:p>
              </w:tc>
              <w:tc>
                <w:tcPr>
                  <w:tcW w:w="746" w:type="pct"/>
                  <w:tcBorders>
                    <w:tl2br w:val="nil"/>
                    <w:tr2bl w:val="nil"/>
                  </w:tcBorders>
                  <w:noWrap w:val="0"/>
                  <w:vAlign w:val="center"/>
                </w:tcPr>
                <w:p w14:paraId="5692A994">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达标</w:t>
                  </w:r>
                </w:p>
                <w:p w14:paraId="3BB088A1">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
                      <w:bCs w:val="0"/>
                      <w:color w:val="auto"/>
                      <w:kern w:val="2"/>
                      <w:sz w:val="21"/>
                      <w:szCs w:val="21"/>
                      <w:highlight w:val="none"/>
                    </w:rPr>
                  </w:pPr>
                  <w:r>
                    <w:rPr>
                      <w:rFonts w:hint="eastAsia" w:ascii="仿宋" w:hAnsi="仿宋" w:eastAsia="仿宋" w:cs="仿宋"/>
                      <w:b/>
                      <w:bCs w:val="0"/>
                      <w:color w:val="auto"/>
                      <w:kern w:val="2"/>
                      <w:sz w:val="21"/>
                      <w:szCs w:val="21"/>
                      <w:highlight w:val="none"/>
                      <w:lang w:val="en-US" w:eastAsia="zh-CN" w:bidi="ar"/>
                    </w:rPr>
                    <w:t>情况</w:t>
                  </w:r>
                </w:p>
              </w:tc>
            </w:tr>
            <w:tr w14:paraId="33463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dxa"/>
                  <w:tcBorders>
                    <w:tl2br w:val="nil"/>
                    <w:tr2bl w:val="nil"/>
                  </w:tcBorders>
                  <w:noWrap w:val="0"/>
                  <w:vAlign w:val="center"/>
                </w:tcPr>
                <w:p w14:paraId="34674BBE">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color w:val="auto"/>
                      <w:highlight w:val="none"/>
                    </w:rPr>
                    <w:t>SO</w:t>
                  </w:r>
                  <w:r>
                    <w:rPr>
                      <w:rFonts w:hint="eastAsia" w:ascii="仿宋" w:hAnsi="仿宋" w:eastAsia="仿宋" w:cs="仿宋"/>
                      <w:color w:val="auto"/>
                      <w:highlight w:val="none"/>
                      <w:vertAlign w:val="subscript"/>
                    </w:rPr>
                    <w:t>2</w:t>
                  </w:r>
                </w:p>
              </w:tc>
              <w:tc>
                <w:tcPr>
                  <w:tcW w:w="1158" w:type="pct"/>
                  <w:tcBorders>
                    <w:tl2br w:val="nil"/>
                    <w:tr2bl w:val="nil"/>
                  </w:tcBorders>
                  <w:noWrap w:val="0"/>
                  <w:vAlign w:val="center"/>
                </w:tcPr>
                <w:p w14:paraId="47E0546C">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年平均质量浓度</w:t>
                  </w:r>
                </w:p>
              </w:tc>
              <w:tc>
                <w:tcPr>
                  <w:tcW w:w="1462" w:type="dxa"/>
                  <w:tcBorders>
                    <w:tl2br w:val="nil"/>
                    <w:tr2bl w:val="nil"/>
                  </w:tcBorders>
                  <w:noWrap w:val="0"/>
                  <w:vAlign w:val="center"/>
                </w:tcPr>
                <w:p w14:paraId="304DD883">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8</w:t>
                  </w:r>
                </w:p>
              </w:tc>
              <w:tc>
                <w:tcPr>
                  <w:tcW w:w="1509" w:type="dxa"/>
                  <w:tcBorders>
                    <w:tl2br w:val="nil"/>
                    <w:tr2bl w:val="nil"/>
                  </w:tcBorders>
                  <w:noWrap w:val="0"/>
                  <w:vAlign w:val="center"/>
                </w:tcPr>
                <w:p w14:paraId="0FA5DB0B">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60</w:t>
                  </w:r>
                </w:p>
              </w:tc>
              <w:tc>
                <w:tcPr>
                  <w:tcW w:w="1331" w:type="dxa"/>
                  <w:tcBorders>
                    <w:tl2br w:val="nil"/>
                    <w:tr2bl w:val="nil"/>
                  </w:tcBorders>
                  <w:noWrap w:val="0"/>
                  <w:vAlign w:val="center"/>
                </w:tcPr>
                <w:p w14:paraId="7DD27D60">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13.3</w:t>
                  </w:r>
                </w:p>
              </w:tc>
              <w:tc>
                <w:tcPr>
                  <w:tcW w:w="1286" w:type="dxa"/>
                  <w:tcBorders>
                    <w:tl2br w:val="nil"/>
                    <w:tr2bl w:val="nil"/>
                  </w:tcBorders>
                  <w:noWrap w:val="0"/>
                  <w:vAlign w:val="center"/>
                </w:tcPr>
                <w:p w14:paraId="1847ADD6">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达标</w:t>
                  </w:r>
                </w:p>
              </w:tc>
            </w:tr>
            <w:tr w14:paraId="0D227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3" w:type="dxa"/>
                  <w:tcBorders>
                    <w:tl2br w:val="nil"/>
                    <w:tr2bl w:val="nil"/>
                  </w:tcBorders>
                  <w:noWrap w:val="0"/>
                  <w:vAlign w:val="center"/>
                </w:tcPr>
                <w:p w14:paraId="495DDDF8">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color w:val="auto"/>
                      <w:highlight w:val="none"/>
                    </w:rPr>
                    <w:t>NO</w:t>
                  </w:r>
                  <w:r>
                    <w:rPr>
                      <w:rFonts w:hint="eastAsia" w:ascii="仿宋" w:hAnsi="仿宋" w:eastAsia="仿宋" w:cs="仿宋"/>
                      <w:color w:val="auto"/>
                      <w:highlight w:val="none"/>
                      <w:vertAlign w:val="subscript"/>
                    </w:rPr>
                    <w:t>2</w:t>
                  </w:r>
                </w:p>
              </w:tc>
              <w:tc>
                <w:tcPr>
                  <w:tcW w:w="1158" w:type="pct"/>
                  <w:tcBorders>
                    <w:tl2br w:val="nil"/>
                    <w:tr2bl w:val="nil"/>
                  </w:tcBorders>
                  <w:noWrap w:val="0"/>
                  <w:vAlign w:val="center"/>
                </w:tcPr>
                <w:p w14:paraId="046944F9">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年平均质量浓度</w:t>
                  </w:r>
                </w:p>
              </w:tc>
              <w:tc>
                <w:tcPr>
                  <w:tcW w:w="1462" w:type="dxa"/>
                  <w:tcBorders>
                    <w:tl2br w:val="nil"/>
                    <w:tr2bl w:val="nil"/>
                  </w:tcBorders>
                  <w:noWrap w:val="0"/>
                  <w:vAlign w:val="center"/>
                </w:tcPr>
                <w:p w14:paraId="2BB510D6">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21</w:t>
                  </w:r>
                </w:p>
              </w:tc>
              <w:tc>
                <w:tcPr>
                  <w:tcW w:w="1509" w:type="dxa"/>
                  <w:tcBorders>
                    <w:tl2br w:val="nil"/>
                    <w:tr2bl w:val="nil"/>
                  </w:tcBorders>
                  <w:noWrap w:val="0"/>
                  <w:vAlign w:val="center"/>
                </w:tcPr>
                <w:p w14:paraId="72A3E8E5">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40</w:t>
                  </w:r>
                </w:p>
              </w:tc>
              <w:tc>
                <w:tcPr>
                  <w:tcW w:w="1331" w:type="dxa"/>
                  <w:tcBorders>
                    <w:tl2br w:val="nil"/>
                    <w:tr2bl w:val="nil"/>
                  </w:tcBorders>
                  <w:noWrap w:val="0"/>
                  <w:vAlign w:val="center"/>
                </w:tcPr>
                <w:p w14:paraId="201D75F1">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52.5</w:t>
                  </w:r>
                </w:p>
              </w:tc>
              <w:tc>
                <w:tcPr>
                  <w:tcW w:w="1286" w:type="dxa"/>
                  <w:tcBorders>
                    <w:tl2br w:val="nil"/>
                    <w:tr2bl w:val="nil"/>
                  </w:tcBorders>
                  <w:noWrap w:val="0"/>
                  <w:vAlign w:val="center"/>
                </w:tcPr>
                <w:p w14:paraId="3C873648">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达标</w:t>
                  </w:r>
                </w:p>
              </w:tc>
            </w:tr>
            <w:tr w14:paraId="578A7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3" w:type="dxa"/>
                  <w:tcBorders>
                    <w:tl2br w:val="nil"/>
                    <w:tr2bl w:val="nil"/>
                  </w:tcBorders>
                  <w:noWrap w:val="0"/>
                  <w:vAlign w:val="center"/>
                </w:tcPr>
                <w:p w14:paraId="1BDC8734">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color w:val="auto"/>
                      <w:highlight w:val="none"/>
                    </w:rPr>
                    <w:t>PM</w:t>
                  </w:r>
                  <w:r>
                    <w:rPr>
                      <w:rFonts w:hint="eastAsia" w:ascii="仿宋" w:hAnsi="仿宋" w:eastAsia="仿宋" w:cs="仿宋"/>
                      <w:color w:val="auto"/>
                      <w:highlight w:val="none"/>
                      <w:vertAlign w:val="subscript"/>
                    </w:rPr>
                    <w:t>10</w:t>
                  </w:r>
                </w:p>
              </w:tc>
              <w:tc>
                <w:tcPr>
                  <w:tcW w:w="1158" w:type="pct"/>
                  <w:tcBorders>
                    <w:tl2br w:val="nil"/>
                    <w:tr2bl w:val="nil"/>
                  </w:tcBorders>
                  <w:noWrap w:val="0"/>
                  <w:vAlign w:val="center"/>
                </w:tcPr>
                <w:p w14:paraId="20F8E981">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年平均质量浓度</w:t>
                  </w:r>
                </w:p>
              </w:tc>
              <w:tc>
                <w:tcPr>
                  <w:tcW w:w="1462" w:type="dxa"/>
                  <w:tcBorders>
                    <w:tl2br w:val="nil"/>
                    <w:tr2bl w:val="nil"/>
                  </w:tcBorders>
                  <w:noWrap w:val="0"/>
                  <w:vAlign w:val="center"/>
                </w:tcPr>
                <w:p w14:paraId="3010BB48">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65.9</w:t>
                  </w:r>
                </w:p>
              </w:tc>
              <w:tc>
                <w:tcPr>
                  <w:tcW w:w="1509" w:type="dxa"/>
                  <w:tcBorders>
                    <w:tl2br w:val="nil"/>
                    <w:tr2bl w:val="nil"/>
                  </w:tcBorders>
                  <w:noWrap w:val="0"/>
                  <w:vAlign w:val="center"/>
                </w:tcPr>
                <w:p w14:paraId="2C037B1F">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70</w:t>
                  </w:r>
                </w:p>
              </w:tc>
              <w:tc>
                <w:tcPr>
                  <w:tcW w:w="1331" w:type="dxa"/>
                  <w:tcBorders>
                    <w:tl2br w:val="nil"/>
                    <w:tr2bl w:val="nil"/>
                  </w:tcBorders>
                  <w:noWrap w:val="0"/>
                  <w:vAlign w:val="center"/>
                </w:tcPr>
                <w:p w14:paraId="21F6C687">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94.1</w:t>
                  </w:r>
                </w:p>
              </w:tc>
              <w:tc>
                <w:tcPr>
                  <w:tcW w:w="1286" w:type="dxa"/>
                  <w:tcBorders>
                    <w:tl2br w:val="nil"/>
                    <w:tr2bl w:val="nil"/>
                  </w:tcBorders>
                  <w:noWrap w:val="0"/>
                  <w:vAlign w:val="center"/>
                </w:tcPr>
                <w:p w14:paraId="6E5B79D0">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达标</w:t>
                  </w:r>
                </w:p>
              </w:tc>
            </w:tr>
            <w:tr w14:paraId="34529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3" w:type="dxa"/>
                  <w:tcBorders>
                    <w:tl2br w:val="nil"/>
                    <w:tr2bl w:val="nil"/>
                  </w:tcBorders>
                  <w:noWrap w:val="0"/>
                  <w:vAlign w:val="center"/>
                </w:tcPr>
                <w:p w14:paraId="68392BE5">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lang w:eastAsia="zh-CN"/>
                    </w:rPr>
                  </w:pPr>
                  <w:r>
                    <w:rPr>
                      <w:rFonts w:hint="eastAsia" w:ascii="仿宋" w:hAnsi="仿宋" w:eastAsia="仿宋" w:cs="仿宋"/>
                      <w:color w:val="auto"/>
                      <w:highlight w:val="none"/>
                      <w:lang w:eastAsia="zh-CN"/>
                    </w:rPr>
                    <w:t>PM</w:t>
                  </w:r>
                  <w:r>
                    <w:rPr>
                      <w:rFonts w:hint="eastAsia" w:ascii="仿宋" w:hAnsi="仿宋" w:eastAsia="仿宋" w:cs="仿宋"/>
                      <w:color w:val="auto"/>
                      <w:highlight w:val="none"/>
                      <w:vertAlign w:val="subscript"/>
                      <w:lang w:eastAsia="zh-CN"/>
                    </w:rPr>
                    <w:t>2.5</w:t>
                  </w:r>
                </w:p>
              </w:tc>
              <w:tc>
                <w:tcPr>
                  <w:tcW w:w="1158" w:type="pct"/>
                  <w:tcBorders>
                    <w:tl2br w:val="nil"/>
                    <w:tr2bl w:val="nil"/>
                  </w:tcBorders>
                  <w:noWrap w:val="0"/>
                  <w:vAlign w:val="center"/>
                </w:tcPr>
                <w:p w14:paraId="5D0410D0">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年平均质量浓度</w:t>
                  </w:r>
                </w:p>
              </w:tc>
              <w:tc>
                <w:tcPr>
                  <w:tcW w:w="1462" w:type="dxa"/>
                  <w:tcBorders>
                    <w:tl2br w:val="nil"/>
                    <w:tr2bl w:val="nil"/>
                  </w:tcBorders>
                  <w:noWrap w:val="0"/>
                  <w:vAlign w:val="center"/>
                </w:tcPr>
                <w:p w14:paraId="47D630D0">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38.7</w:t>
                  </w:r>
                </w:p>
              </w:tc>
              <w:tc>
                <w:tcPr>
                  <w:tcW w:w="1509" w:type="dxa"/>
                  <w:tcBorders>
                    <w:tl2br w:val="nil"/>
                    <w:tr2bl w:val="nil"/>
                  </w:tcBorders>
                  <w:noWrap w:val="0"/>
                  <w:vAlign w:val="center"/>
                </w:tcPr>
                <w:p w14:paraId="1D108D65">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35</w:t>
                  </w:r>
                </w:p>
              </w:tc>
              <w:tc>
                <w:tcPr>
                  <w:tcW w:w="1331" w:type="dxa"/>
                  <w:tcBorders>
                    <w:tl2br w:val="nil"/>
                    <w:tr2bl w:val="nil"/>
                  </w:tcBorders>
                  <w:noWrap w:val="0"/>
                  <w:vAlign w:val="center"/>
                </w:tcPr>
                <w:p w14:paraId="08241B26">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110.6</w:t>
                  </w:r>
                </w:p>
              </w:tc>
              <w:tc>
                <w:tcPr>
                  <w:tcW w:w="1286" w:type="dxa"/>
                  <w:tcBorders>
                    <w:tl2br w:val="nil"/>
                    <w:tr2bl w:val="nil"/>
                  </w:tcBorders>
                  <w:noWrap w:val="0"/>
                  <w:vAlign w:val="center"/>
                </w:tcPr>
                <w:p w14:paraId="6C048E15">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超标</w:t>
                  </w:r>
                </w:p>
              </w:tc>
            </w:tr>
            <w:tr w14:paraId="2DF64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3" w:type="dxa"/>
                  <w:tcBorders>
                    <w:tl2br w:val="nil"/>
                    <w:tr2bl w:val="nil"/>
                  </w:tcBorders>
                  <w:noWrap w:val="0"/>
                  <w:vAlign w:val="center"/>
                </w:tcPr>
                <w:p w14:paraId="42587E07">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color w:val="auto"/>
                      <w:highlight w:val="none"/>
                    </w:rPr>
                    <w:t>CO</w:t>
                  </w:r>
                </w:p>
              </w:tc>
              <w:tc>
                <w:tcPr>
                  <w:tcW w:w="1158" w:type="pct"/>
                  <w:tcBorders>
                    <w:tl2br w:val="nil"/>
                    <w:tr2bl w:val="nil"/>
                  </w:tcBorders>
                  <w:noWrap w:val="0"/>
                  <w:vAlign w:val="center"/>
                </w:tcPr>
                <w:p w14:paraId="0F07B3A1">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第95百分位数日平均质量浓度</w:t>
                  </w:r>
                </w:p>
              </w:tc>
              <w:tc>
                <w:tcPr>
                  <w:tcW w:w="1462" w:type="dxa"/>
                  <w:tcBorders>
                    <w:tl2br w:val="nil"/>
                    <w:tr2bl w:val="nil"/>
                  </w:tcBorders>
                  <w:noWrap w:val="0"/>
                  <w:vAlign w:val="center"/>
                </w:tcPr>
                <w:p w14:paraId="44A0CDDE">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700</w:t>
                  </w:r>
                </w:p>
              </w:tc>
              <w:tc>
                <w:tcPr>
                  <w:tcW w:w="1509" w:type="dxa"/>
                  <w:tcBorders>
                    <w:tl2br w:val="nil"/>
                    <w:tr2bl w:val="nil"/>
                  </w:tcBorders>
                  <w:noWrap w:val="0"/>
                  <w:vAlign w:val="center"/>
                </w:tcPr>
                <w:p w14:paraId="2E5B80FF">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4000</w:t>
                  </w:r>
                </w:p>
              </w:tc>
              <w:tc>
                <w:tcPr>
                  <w:tcW w:w="1331" w:type="dxa"/>
                  <w:tcBorders>
                    <w:tl2br w:val="nil"/>
                    <w:tr2bl w:val="nil"/>
                  </w:tcBorders>
                  <w:noWrap w:val="0"/>
                  <w:vAlign w:val="center"/>
                </w:tcPr>
                <w:p w14:paraId="044F5606">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17.5</w:t>
                  </w:r>
                </w:p>
              </w:tc>
              <w:tc>
                <w:tcPr>
                  <w:tcW w:w="1286" w:type="dxa"/>
                  <w:tcBorders>
                    <w:tl2br w:val="nil"/>
                    <w:tr2bl w:val="nil"/>
                  </w:tcBorders>
                  <w:noWrap w:val="0"/>
                  <w:vAlign w:val="center"/>
                </w:tcPr>
                <w:p w14:paraId="2B4EC4E5">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达标</w:t>
                  </w:r>
                </w:p>
              </w:tc>
            </w:tr>
            <w:tr w14:paraId="41406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3" w:type="dxa"/>
                  <w:tcBorders>
                    <w:tl2br w:val="nil"/>
                    <w:tr2bl w:val="nil"/>
                  </w:tcBorders>
                  <w:noWrap w:val="0"/>
                  <w:vAlign w:val="center"/>
                </w:tcPr>
                <w:p w14:paraId="5AFA36DE">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color w:val="auto"/>
                      <w:highlight w:val="none"/>
                    </w:rPr>
                    <w:t>O</w:t>
                  </w:r>
                  <w:r>
                    <w:rPr>
                      <w:rFonts w:hint="eastAsia" w:ascii="仿宋" w:hAnsi="仿宋" w:eastAsia="仿宋" w:cs="仿宋"/>
                      <w:color w:val="auto"/>
                      <w:highlight w:val="none"/>
                      <w:vertAlign w:val="subscript"/>
                    </w:rPr>
                    <w:t>3</w:t>
                  </w:r>
                </w:p>
              </w:tc>
              <w:tc>
                <w:tcPr>
                  <w:tcW w:w="1158" w:type="pct"/>
                  <w:tcBorders>
                    <w:tl2br w:val="nil"/>
                    <w:tr2bl w:val="nil"/>
                  </w:tcBorders>
                  <w:noWrap w:val="0"/>
                  <w:vAlign w:val="center"/>
                </w:tcPr>
                <w:p w14:paraId="25EE767B">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val="en-US" w:eastAsia="zh-CN" w:bidi="ar"/>
                    </w:rPr>
                    <w:t>第90百分位数8h平均质量浓度</w:t>
                  </w:r>
                </w:p>
              </w:tc>
              <w:tc>
                <w:tcPr>
                  <w:tcW w:w="1462" w:type="dxa"/>
                  <w:tcBorders>
                    <w:tl2br w:val="nil"/>
                    <w:tr2bl w:val="nil"/>
                  </w:tcBorders>
                  <w:noWrap w:val="0"/>
                  <w:vAlign w:val="center"/>
                </w:tcPr>
                <w:p w14:paraId="5717BFB5">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157</w:t>
                  </w:r>
                </w:p>
              </w:tc>
              <w:tc>
                <w:tcPr>
                  <w:tcW w:w="1509" w:type="dxa"/>
                  <w:tcBorders>
                    <w:tl2br w:val="nil"/>
                    <w:tr2bl w:val="nil"/>
                  </w:tcBorders>
                  <w:noWrap w:val="0"/>
                  <w:vAlign w:val="center"/>
                </w:tcPr>
                <w:p w14:paraId="44E78CD0">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160</w:t>
                  </w:r>
                </w:p>
              </w:tc>
              <w:tc>
                <w:tcPr>
                  <w:tcW w:w="1331" w:type="dxa"/>
                  <w:tcBorders>
                    <w:tl2br w:val="nil"/>
                    <w:tr2bl w:val="nil"/>
                  </w:tcBorders>
                  <w:noWrap w:val="0"/>
                  <w:vAlign w:val="center"/>
                </w:tcPr>
                <w:p w14:paraId="5DDCF1D2">
                  <w:pPr>
                    <w:pStyle w:val="28"/>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仿宋" w:hAnsi="仿宋" w:eastAsia="仿宋" w:cs="仿宋"/>
                      <w:bCs/>
                      <w:color w:val="auto"/>
                      <w:kern w:val="2"/>
                      <w:sz w:val="21"/>
                      <w:szCs w:val="21"/>
                      <w:highlight w:val="none"/>
                      <w:lang w:val="en-US" w:eastAsia="zh-CN" w:bidi="ar"/>
                    </w:rPr>
                  </w:pPr>
                  <w:r>
                    <w:rPr>
                      <w:rFonts w:hint="eastAsia" w:ascii="仿宋" w:hAnsi="仿宋" w:eastAsia="仿宋" w:cs="仿宋"/>
                      <w:bCs/>
                      <w:color w:val="auto"/>
                      <w:kern w:val="2"/>
                      <w:sz w:val="21"/>
                      <w:szCs w:val="21"/>
                      <w:highlight w:val="none"/>
                      <w:lang w:val="en-US" w:eastAsia="zh-CN" w:bidi="ar"/>
                    </w:rPr>
                    <w:t>98.1</w:t>
                  </w:r>
                </w:p>
              </w:tc>
              <w:tc>
                <w:tcPr>
                  <w:tcW w:w="1286" w:type="dxa"/>
                  <w:tcBorders>
                    <w:tl2br w:val="nil"/>
                    <w:tr2bl w:val="nil"/>
                  </w:tcBorders>
                  <w:noWrap w:val="0"/>
                  <w:vAlign w:val="center"/>
                </w:tcPr>
                <w:p w14:paraId="0827C232">
                  <w:pPr>
                    <w:pStyle w:val="58"/>
                    <w:keepNext w:val="0"/>
                    <w:keepLines w:val="0"/>
                    <w:widowControl/>
                    <w:suppressLineNumbers w:val="0"/>
                    <w:bidi w:val="0"/>
                    <w:spacing w:before="0" w:beforeAutospacing="0" w:after="0" w:afterAutospacing="0"/>
                    <w:ind w:left="0" w:right="0" w:firstLine="0" w:firstLineChars="0"/>
                    <w:jc w:val="center"/>
                    <w:rPr>
                      <w:rFonts w:hint="eastAsia" w:ascii="仿宋" w:hAnsi="仿宋" w:eastAsia="仿宋" w:cs="仿宋"/>
                      <w:bCs/>
                      <w:snapToGrid w:val="0"/>
                      <w:color w:val="auto"/>
                      <w:kern w:val="2"/>
                      <w:sz w:val="21"/>
                      <w:szCs w:val="21"/>
                      <w:highlight w:val="none"/>
                      <w:lang w:val="en-US" w:eastAsia="zh-CN" w:bidi="ar"/>
                    </w:rPr>
                  </w:pPr>
                  <w:r>
                    <w:rPr>
                      <w:rFonts w:hint="eastAsia" w:ascii="仿宋" w:hAnsi="仿宋" w:eastAsia="仿宋" w:cs="仿宋"/>
                      <w:bCs/>
                      <w:snapToGrid w:val="0"/>
                      <w:color w:val="auto"/>
                      <w:kern w:val="2"/>
                      <w:sz w:val="21"/>
                      <w:szCs w:val="21"/>
                      <w:highlight w:val="none"/>
                      <w:lang w:val="en-US" w:eastAsia="zh-CN" w:bidi="ar"/>
                    </w:rPr>
                    <w:t>达标</w:t>
                  </w:r>
                </w:p>
              </w:tc>
            </w:tr>
          </w:tbl>
          <w:p w14:paraId="5F8F65B8">
            <w:pPr>
              <w:pStyle w:val="79"/>
              <w:keepNext w:val="0"/>
              <w:keepLines w:val="0"/>
              <w:pageBreakBefore w:val="0"/>
              <w:widowControl w:val="0"/>
              <w:kinsoku/>
              <w:wordWrap/>
              <w:overflowPunct/>
              <w:topLinePunct w:val="0"/>
              <w:autoSpaceDE/>
              <w:autoSpaceDN/>
              <w:bidi w:val="0"/>
              <w:adjustRightInd w:val="0"/>
              <w:snapToGrid w:val="0"/>
              <w:spacing w:line="440" w:lineRule="exact"/>
              <w:ind w:firstLine="42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auto"/>
                <w:sz w:val="24"/>
              </w:rPr>
              <w:t>根据《淮南市“十四五”生态环境保护规划》，对于区域大气环境治理采取的措施主要有：超低排放等污染治理技术改造；集中供热、燃煤锅炉替代、落后产能升级淘汰等能源结构优化工程；重点行业烟气脱硫脱硝和加油站、油罐车、储油库油气回收与治理工程，有机化工、表面涂装、包装印刷等行业、有机化工和医药化工园区、煤化工基地挥发性有机物综合整治。通过采取以上措施，到2025年，臭氧上升趋势等到遏制，</w:t>
            </w:r>
            <w:r>
              <w:rPr>
                <w:rFonts w:hint="eastAsia" w:ascii="仿宋" w:hAnsi="仿宋" w:eastAsia="仿宋" w:cs="仿宋"/>
                <w:color w:val="auto"/>
                <w:sz w:val="24"/>
                <w:lang w:eastAsia="zh-CN"/>
              </w:rPr>
              <w:t>PM</w:t>
            </w:r>
            <w:r>
              <w:rPr>
                <w:rFonts w:hint="eastAsia" w:ascii="仿宋" w:hAnsi="仿宋" w:eastAsia="仿宋" w:cs="仿宋"/>
                <w:color w:val="auto"/>
                <w:sz w:val="24"/>
                <w:vertAlign w:val="subscript"/>
                <w:lang w:eastAsia="zh-CN"/>
              </w:rPr>
              <w:t>2.5</w:t>
            </w:r>
            <w:r>
              <w:rPr>
                <w:rFonts w:hint="eastAsia" w:ascii="仿宋" w:hAnsi="仿宋" w:eastAsia="仿宋" w:cs="仿宋"/>
                <w:color w:val="auto"/>
                <w:sz w:val="24"/>
              </w:rPr>
              <w:t>浓度持续下降，完成省下达的任务，环境空气质量总体改善。</w:t>
            </w:r>
          </w:p>
          <w:p w14:paraId="298EAD04">
            <w:pPr>
              <w:pStyle w:val="79"/>
              <w:keepNext w:val="0"/>
              <w:keepLines w:val="0"/>
              <w:pageBreakBefore w:val="0"/>
              <w:widowControl w:val="0"/>
              <w:kinsoku/>
              <w:wordWrap/>
              <w:overflowPunct/>
              <w:topLinePunct w:val="0"/>
              <w:autoSpaceDE/>
              <w:autoSpaceDN/>
              <w:bidi w:val="0"/>
              <w:adjustRightInd w:val="0"/>
              <w:snapToGrid w:val="0"/>
              <w:spacing w:line="440" w:lineRule="exact"/>
              <w:ind w:firstLine="420"/>
              <w:jc w:val="both"/>
              <w:textAlignment w:val="auto"/>
              <w:rPr>
                <w:rFonts w:hint="eastAsia" w:ascii="仿宋" w:hAnsi="仿宋" w:eastAsia="仿宋" w:cs="仿宋"/>
                <w:color w:val="auto"/>
                <w:sz w:val="24"/>
                <w:lang w:val="en-US" w:eastAsia="zh-CN"/>
              </w:rPr>
            </w:pPr>
            <w:r>
              <w:rPr>
                <w:rFonts w:hint="eastAsia" w:ascii="仿宋" w:hAnsi="仿宋" w:eastAsia="仿宋" w:cs="仿宋"/>
                <w:color w:val="000000"/>
                <w:kern w:val="0"/>
                <w:sz w:val="24"/>
                <w:szCs w:val="24"/>
                <w:lang w:val="en-US" w:eastAsia="zh-CN" w:bidi="ar"/>
              </w:rPr>
              <w:t>②特征污染物环境质量现状数据</w:t>
            </w:r>
          </w:p>
          <w:p w14:paraId="2ED4F85F">
            <w:pPr>
              <w:pStyle w:val="79"/>
              <w:keepNext w:val="0"/>
              <w:keepLines w:val="0"/>
              <w:pageBreakBefore w:val="0"/>
              <w:widowControl w:val="0"/>
              <w:kinsoku/>
              <w:wordWrap/>
              <w:overflowPunct/>
              <w:topLinePunct w:val="0"/>
              <w:autoSpaceDE/>
              <w:autoSpaceDN/>
              <w:bidi w:val="0"/>
              <w:adjustRightInd w:val="0"/>
              <w:snapToGrid w:val="0"/>
              <w:spacing w:line="440" w:lineRule="exact"/>
              <w:ind w:firstLine="420"/>
              <w:jc w:val="both"/>
              <w:textAlignment w:val="auto"/>
              <w:rPr>
                <w:rFonts w:hint="eastAsia" w:ascii="仿宋" w:hAnsi="仿宋" w:eastAsia="仿宋" w:cs="仿宋"/>
                <w:b w:val="0"/>
                <w:bCs w:val="0"/>
                <w:color w:val="auto"/>
                <w:kern w:val="2"/>
                <w:sz w:val="24"/>
                <w:szCs w:val="24"/>
              </w:rPr>
            </w:pPr>
            <w:r>
              <w:rPr>
                <w:rFonts w:hint="eastAsia" w:ascii="仿宋" w:hAnsi="仿宋" w:eastAsia="仿宋" w:cs="仿宋"/>
                <w:spacing w:val="-6"/>
                <w:sz w:val="24"/>
                <w:szCs w:val="24"/>
              </w:rPr>
              <w:t>根据指南规定，项目排放国家、地方环境空气质量标准中有标准限值要求的特征污染物时，</w:t>
            </w:r>
            <w:r>
              <w:rPr>
                <w:rFonts w:hint="eastAsia" w:ascii="仿宋" w:hAnsi="仿宋" w:eastAsia="仿宋" w:cs="仿宋"/>
                <w:spacing w:val="-3"/>
                <w:sz w:val="24"/>
                <w:szCs w:val="24"/>
              </w:rPr>
              <w:t>引用周边5千米范围内近3年的现有监测数据，无相关数据的选择当季主导风向下风向1个点</w:t>
            </w:r>
            <w:r>
              <w:rPr>
                <w:rFonts w:hint="eastAsia" w:ascii="仿宋" w:hAnsi="仿宋" w:eastAsia="仿宋" w:cs="仿宋"/>
                <w:spacing w:val="-1"/>
                <w:sz w:val="24"/>
                <w:szCs w:val="24"/>
              </w:rPr>
              <w:t>位补充不少于3天的监测数据。</w:t>
            </w:r>
          </w:p>
          <w:p w14:paraId="4AA7F6B3">
            <w:pPr>
              <w:pStyle w:val="79"/>
              <w:keepNext w:val="0"/>
              <w:keepLines w:val="0"/>
              <w:pageBreakBefore w:val="0"/>
              <w:widowControl w:val="0"/>
              <w:kinsoku/>
              <w:wordWrap/>
              <w:overflowPunct/>
              <w:topLinePunct w:val="0"/>
              <w:autoSpaceDE/>
              <w:autoSpaceDN/>
              <w:bidi w:val="0"/>
              <w:adjustRightInd w:val="0"/>
              <w:snapToGrid w:val="0"/>
              <w:spacing w:line="440" w:lineRule="exact"/>
              <w:ind w:firstLine="420"/>
              <w:jc w:val="both"/>
              <w:textAlignment w:val="auto"/>
              <w:rPr>
                <w:rFonts w:hint="eastAsia" w:ascii="仿宋" w:hAnsi="仿宋" w:eastAsia="仿宋" w:cs="仿宋"/>
                <w:b/>
                <w:bCs/>
                <w:snapToGrid w:val="0"/>
                <w:color w:val="auto"/>
                <w:sz w:val="21"/>
                <w:szCs w:val="21"/>
                <w:lang w:val="en-US" w:eastAsia="zh-CN" w:bidi="ar-SA"/>
              </w:rPr>
            </w:pPr>
            <w:r>
              <w:rPr>
                <w:rFonts w:hint="eastAsia" w:ascii="仿宋" w:hAnsi="仿宋" w:eastAsia="仿宋" w:cs="仿宋"/>
                <w:spacing w:val="-6"/>
                <w:sz w:val="24"/>
                <w:szCs w:val="24"/>
              </w:rPr>
              <w:t>项目排放国家、地方环境空气质量标准中有标准限值要求的特征污染物</w:t>
            </w:r>
            <w:r>
              <w:rPr>
                <w:rFonts w:hint="eastAsia" w:ascii="仿宋" w:hAnsi="仿宋" w:eastAsia="仿宋" w:cs="仿宋"/>
                <w:b w:val="0"/>
                <w:bCs w:val="0"/>
                <w:color w:val="auto"/>
                <w:kern w:val="2"/>
                <w:sz w:val="24"/>
                <w:szCs w:val="24"/>
              </w:rPr>
              <w:t>为TSP，引用《</w:t>
            </w:r>
            <w:r>
              <w:rPr>
                <w:rFonts w:hint="eastAsia" w:ascii="仿宋" w:hAnsi="仿宋" w:eastAsia="仿宋" w:cs="仿宋"/>
                <w:b w:val="0"/>
                <w:bCs w:val="0"/>
                <w:color w:val="auto"/>
                <w:kern w:val="2"/>
                <w:sz w:val="24"/>
                <w:szCs w:val="24"/>
                <w:lang w:eastAsia="zh-CN"/>
              </w:rPr>
              <w:t>安徽山利金属科技有限公司安徽山利循环科技产业园项目（一期）环境影响报告书</w:t>
            </w:r>
            <w:r>
              <w:rPr>
                <w:rFonts w:hint="eastAsia" w:ascii="仿宋" w:hAnsi="仿宋" w:eastAsia="仿宋" w:cs="仿宋"/>
                <w:b w:val="0"/>
                <w:bCs w:val="0"/>
                <w:color w:val="auto"/>
                <w:kern w:val="2"/>
                <w:sz w:val="24"/>
                <w:szCs w:val="24"/>
              </w:rPr>
              <w:t>》</w:t>
            </w:r>
            <w:r>
              <w:rPr>
                <w:rFonts w:hint="eastAsia" w:ascii="仿宋" w:hAnsi="仿宋" w:eastAsia="仿宋" w:cs="仿宋"/>
                <w:b w:val="0"/>
                <w:bCs w:val="0"/>
                <w:color w:val="auto"/>
                <w:sz w:val="24"/>
                <w:szCs w:val="24"/>
              </w:rPr>
              <w:t>中的监测数据，监测因子为</w:t>
            </w:r>
            <w:r>
              <w:rPr>
                <w:rFonts w:hint="eastAsia" w:ascii="仿宋" w:hAnsi="仿宋" w:eastAsia="仿宋" w:cs="仿宋"/>
                <w:b w:val="0"/>
                <w:bCs w:val="0"/>
                <w:color w:val="auto"/>
                <w:kern w:val="2"/>
                <w:sz w:val="24"/>
                <w:szCs w:val="24"/>
              </w:rPr>
              <w:t>TSP</w:t>
            </w:r>
            <w:r>
              <w:rPr>
                <w:rFonts w:hint="eastAsia" w:ascii="仿宋" w:hAnsi="仿宋" w:eastAsia="仿宋" w:cs="仿宋"/>
                <w:b w:val="0"/>
                <w:bCs w:val="0"/>
                <w:color w:val="auto"/>
                <w:sz w:val="24"/>
                <w:szCs w:val="24"/>
              </w:rPr>
              <w:t>，监测时间为</w:t>
            </w:r>
            <w:r>
              <w:rPr>
                <w:rFonts w:hint="eastAsia" w:ascii="仿宋" w:hAnsi="仿宋" w:eastAsia="仿宋" w:cs="仿宋"/>
                <w:b w:val="0"/>
                <w:bCs w:val="0"/>
                <w:color w:val="auto"/>
                <w:sz w:val="24"/>
                <w:szCs w:val="24"/>
                <w:lang w:eastAsia="zh-CN"/>
              </w:rPr>
              <w:t>2023年8月10日~8月17日</w:t>
            </w:r>
            <w:r>
              <w:rPr>
                <w:rFonts w:hint="eastAsia" w:ascii="仿宋" w:hAnsi="仿宋" w:eastAsia="仿宋" w:cs="仿宋"/>
                <w:b w:val="0"/>
                <w:bCs w:val="0"/>
                <w:color w:val="auto"/>
                <w:sz w:val="24"/>
                <w:szCs w:val="24"/>
              </w:rPr>
              <w:t>，为期</w:t>
            </w: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rPr>
              <w:t>天，</w:t>
            </w:r>
            <w:r>
              <w:rPr>
                <w:rFonts w:hint="eastAsia" w:ascii="仿宋" w:hAnsi="仿宋" w:eastAsia="仿宋" w:cs="仿宋"/>
                <w:b w:val="0"/>
                <w:bCs w:val="0"/>
                <w:color w:val="auto"/>
                <w:kern w:val="2"/>
                <w:sz w:val="24"/>
                <w:szCs w:val="24"/>
              </w:rPr>
              <w:t>监测地点安徽山利金属科技有限公司</w:t>
            </w:r>
            <w:r>
              <w:rPr>
                <w:rFonts w:hint="eastAsia" w:ascii="仿宋" w:hAnsi="仿宋" w:eastAsia="仿宋" w:cs="仿宋"/>
                <w:b w:val="0"/>
                <w:bCs w:val="0"/>
                <w:color w:val="auto"/>
                <w:kern w:val="2"/>
                <w:sz w:val="24"/>
                <w:szCs w:val="24"/>
                <w:lang w:val="en-US" w:eastAsia="zh-CN"/>
              </w:rPr>
              <w:t>厂区内，</w:t>
            </w:r>
            <w:r>
              <w:rPr>
                <w:rFonts w:hint="eastAsia" w:ascii="仿宋" w:hAnsi="仿宋" w:eastAsia="仿宋" w:cs="仿宋"/>
                <w:b w:val="0"/>
                <w:bCs w:val="0"/>
                <w:color w:val="auto"/>
                <w:sz w:val="24"/>
                <w:szCs w:val="24"/>
              </w:rPr>
              <w:t>距离项目厂址</w:t>
            </w:r>
            <w:r>
              <w:rPr>
                <w:rFonts w:hint="eastAsia" w:ascii="仿宋" w:hAnsi="仿宋" w:eastAsia="仿宋" w:cs="仿宋"/>
                <w:b w:val="0"/>
                <w:bCs w:val="0"/>
                <w:color w:val="auto"/>
                <w:sz w:val="24"/>
                <w:szCs w:val="24"/>
                <w:lang w:val="en-US" w:eastAsia="zh-CN"/>
              </w:rPr>
              <w:t>254m</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位于主导风向东风下风向，</w:t>
            </w:r>
            <w:r>
              <w:rPr>
                <w:rFonts w:hint="eastAsia" w:ascii="仿宋" w:hAnsi="仿宋" w:eastAsia="仿宋" w:cs="仿宋"/>
                <w:b w:val="0"/>
                <w:bCs w:val="0"/>
                <w:color w:val="auto"/>
                <w:sz w:val="24"/>
                <w:szCs w:val="24"/>
              </w:rPr>
              <w:t>数据有效。</w:t>
            </w:r>
          </w:p>
          <w:p w14:paraId="5E93382A">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仿宋" w:hAnsi="仿宋" w:eastAsia="仿宋" w:cs="仿宋"/>
                <w:color w:val="auto"/>
                <w:sz w:val="21"/>
                <w:szCs w:val="21"/>
                <w:lang w:val="en-US" w:eastAsia="zh-CN" w:bidi="ar-SA"/>
              </w:rPr>
            </w:pPr>
            <w:r>
              <w:rPr>
                <w:rFonts w:hint="eastAsia" w:ascii="仿宋" w:hAnsi="仿宋" w:eastAsia="仿宋" w:cs="仿宋"/>
                <w:b/>
                <w:bCs/>
                <w:snapToGrid w:val="0"/>
                <w:color w:val="auto"/>
                <w:sz w:val="21"/>
                <w:szCs w:val="21"/>
                <w:lang w:val="en-US" w:eastAsia="zh-CN" w:bidi="ar-SA"/>
              </w:rPr>
              <w:t>表3-2  区域环境空气质量（TSP）现状监测及评价结果一览表</w:t>
            </w:r>
          </w:p>
          <w:tbl>
            <w:tblPr>
              <w:tblStyle w:val="32"/>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1469"/>
              <w:gridCol w:w="661"/>
              <w:gridCol w:w="729"/>
              <w:gridCol w:w="988"/>
              <w:gridCol w:w="995"/>
              <w:gridCol w:w="867"/>
              <w:gridCol w:w="844"/>
              <w:gridCol w:w="844"/>
            </w:tblGrid>
            <w:tr w14:paraId="50BC8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518" w:type="pct"/>
                  <w:vMerge w:val="restart"/>
                  <w:tcBorders>
                    <w:tl2br w:val="nil"/>
                    <w:tr2bl w:val="nil"/>
                  </w:tcBorders>
                  <w:vAlign w:val="center"/>
                </w:tcPr>
                <w:p w14:paraId="6490EDB4">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污染物</w:t>
                  </w:r>
                </w:p>
              </w:tc>
              <w:tc>
                <w:tcPr>
                  <w:tcW w:w="890" w:type="pct"/>
                  <w:vMerge w:val="restart"/>
                  <w:tcBorders>
                    <w:tl2br w:val="nil"/>
                    <w:tr2bl w:val="nil"/>
                  </w:tcBorders>
                  <w:vAlign w:val="center"/>
                </w:tcPr>
                <w:p w14:paraId="62A47C78">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取值时间</w:t>
                  </w:r>
                </w:p>
              </w:tc>
              <w:tc>
                <w:tcPr>
                  <w:tcW w:w="400" w:type="pct"/>
                  <w:vMerge w:val="restart"/>
                  <w:tcBorders>
                    <w:tl2br w:val="nil"/>
                    <w:tr2bl w:val="nil"/>
                  </w:tcBorders>
                  <w:vAlign w:val="center"/>
                </w:tcPr>
                <w:p w14:paraId="5A67C148">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评价标准</w:t>
                  </w:r>
                </w:p>
              </w:tc>
              <w:tc>
                <w:tcPr>
                  <w:tcW w:w="441" w:type="pct"/>
                  <w:vMerge w:val="restart"/>
                  <w:tcBorders>
                    <w:tl2br w:val="nil"/>
                    <w:tr2bl w:val="nil"/>
                  </w:tcBorders>
                  <w:vAlign w:val="center"/>
                </w:tcPr>
                <w:p w14:paraId="74E0F67B">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单位</w:t>
                  </w:r>
                </w:p>
              </w:tc>
              <w:tc>
                <w:tcPr>
                  <w:tcW w:w="1201" w:type="pct"/>
                  <w:gridSpan w:val="2"/>
                  <w:tcBorders>
                    <w:tl2br w:val="nil"/>
                    <w:tr2bl w:val="nil"/>
                  </w:tcBorders>
                  <w:vAlign w:val="center"/>
                </w:tcPr>
                <w:p w14:paraId="6A717F78">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浓度范围</w:t>
                  </w:r>
                </w:p>
              </w:tc>
              <w:tc>
                <w:tcPr>
                  <w:tcW w:w="525" w:type="pct"/>
                  <w:vMerge w:val="restart"/>
                  <w:tcBorders>
                    <w:tl2br w:val="nil"/>
                    <w:tr2bl w:val="nil"/>
                  </w:tcBorders>
                  <w:vAlign w:val="center"/>
                </w:tcPr>
                <w:p w14:paraId="742742A6">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最大占标率/%</w:t>
                  </w:r>
                </w:p>
              </w:tc>
              <w:tc>
                <w:tcPr>
                  <w:tcW w:w="511" w:type="pct"/>
                  <w:vMerge w:val="restart"/>
                  <w:tcBorders>
                    <w:tl2br w:val="nil"/>
                    <w:tr2bl w:val="nil"/>
                  </w:tcBorders>
                  <w:vAlign w:val="center"/>
                </w:tcPr>
                <w:p w14:paraId="3370460E">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超标率</w:t>
                  </w:r>
                </w:p>
              </w:tc>
              <w:tc>
                <w:tcPr>
                  <w:tcW w:w="511" w:type="pct"/>
                  <w:vMerge w:val="restart"/>
                  <w:tcBorders>
                    <w:tl2br w:val="nil"/>
                    <w:tr2bl w:val="nil"/>
                  </w:tcBorders>
                  <w:vAlign w:val="center"/>
                </w:tcPr>
                <w:p w14:paraId="369C11DE">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达标情况</w:t>
                  </w:r>
                </w:p>
              </w:tc>
            </w:tr>
            <w:tr w14:paraId="43503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vAlign w:val="center"/>
                </w:tcPr>
                <w:p w14:paraId="6D2F2070">
                  <w:pPr>
                    <w:widowControl/>
                    <w:spacing w:line="240" w:lineRule="auto"/>
                    <w:ind w:firstLine="0" w:firstLineChars="0"/>
                    <w:jc w:val="center"/>
                    <w:rPr>
                      <w:rFonts w:hint="eastAsia" w:ascii="仿宋" w:hAnsi="仿宋" w:eastAsia="仿宋" w:cs="仿宋"/>
                      <w:color w:val="auto"/>
                      <w:sz w:val="18"/>
                      <w:szCs w:val="18"/>
                      <w:highlight w:val="none"/>
                    </w:rPr>
                  </w:pPr>
                </w:p>
              </w:tc>
              <w:tc>
                <w:tcPr>
                  <w:tcW w:w="890" w:type="pct"/>
                  <w:vMerge w:val="continue"/>
                  <w:tcBorders>
                    <w:tl2br w:val="nil"/>
                    <w:tr2bl w:val="nil"/>
                  </w:tcBorders>
                  <w:vAlign w:val="center"/>
                </w:tcPr>
                <w:p w14:paraId="64404893">
                  <w:pPr>
                    <w:widowControl/>
                    <w:spacing w:line="240" w:lineRule="auto"/>
                    <w:ind w:firstLine="0" w:firstLineChars="0"/>
                    <w:jc w:val="center"/>
                    <w:rPr>
                      <w:rFonts w:hint="eastAsia" w:ascii="仿宋" w:hAnsi="仿宋" w:eastAsia="仿宋" w:cs="仿宋"/>
                      <w:color w:val="auto"/>
                      <w:sz w:val="18"/>
                      <w:szCs w:val="18"/>
                      <w:highlight w:val="none"/>
                    </w:rPr>
                  </w:pPr>
                </w:p>
              </w:tc>
              <w:tc>
                <w:tcPr>
                  <w:tcW w:w="400" w:type="pct"/>
                  <w:vMerge w:val="continue"/>
                  <w:tcBorders>
                    <w:tl2br w:val="nil"/>
                    <w:tr2bl w:val="nil"/>
                  </w:tcBorders>
                  <w:vAlign w:val="center"/>
                </w:tcPr>
                <w:p w14:paraId="5668A1A4">
                  <w:pPr>
                    <w:widowControl/>
                    <w:spacing w:line="240" w:lineRule="auto"/>
                    <w:ind w:firstLine="0" w:firstLineChars="0"/>
                    <w:jc w:val="center"/>
                    <w:rPr>
                      <w:rFonts w:hint="eastAsia" w:ascii="仿宋" w:hAnsi="仿宋" w:eastAsia="仿宋" w:cs="仿宋"/>
                      <w:color w:val="auto"/>
                      <w:sz w:val="18"/>
                      <w:szCs w:val="18"/>
                      <w:highlight w:val="none"/>
                    </w:rPr>
                  </w:pPr>
                </w:p>
              </w:tc>
              <w:tc>
                <w:tcPr>
                  <w:tcW w:w="441" w:type="pct"/>
                  <w:vMerge w:val="continue"/>
                  <w:tcBorders>
                    <w:tl2br w:val="nil"/>
                    <w:tr2bl w:val="nil"/>
                  </w:tcBorders>
                  <w:vAlign w:val="center"/>
                </w:tcPr>
                <w:p w14:paraId="0D0FD424">
                  <w:pPr>
                    <w:widowControl/>
                    <w:spacing w:line="240" w:lineRule="auto"/>
                    <w:ind w:firstLine="0" w:firstLineChars="0"/>
                    <w:jc w:val="center"/>
                    <w:rPr>
                      <w:rFonts w:hint="eastAsia" w:ascii="仿宋" w:hAnsi="仿宋" w:eastAsia="仿宋" w:cs="仿宋"/>
                      <w:color w:val="auto"/>
                      <w:sz w:val="18"/>
                      <w:szCs w:val="18"/>
                      <w:highlight w:val="none"/>
                    </w:rPr>
                  </w:pPr>
                </w:p>
              </w:tc>
              <w:tc>
                <w:tcPr>
                  <w:tcW w:w="598" w:type="pct"/>
                  <w:tcBorders>
                    <w:tl2br w:val="nil"/>
                    <w:tr2bl w:val="nil"/>
                  </w:tcBorders>
                  <w:vAlign w:val="center"/>
                </w:tcPr>
                <w:p w14:paraId="7147E8FF">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最小值</w:t>
                  </w:r>
                </w:p>
              </w:tc>
              <w:tc>
                <w:tcPr>
                  <w:tcW w:w="602" w:type="pct"/>
                  <w:tcBorders>
                    <w:tl2br w:val="nil"/>
                    <w:tr2bl w:val="nil"/>
                  </w:tcBorders>
                  <w:vAlign w:val="center"/>
                </w:tcPr>
                <w:p w14:paraId="13295D3F">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最大值</w:t>
                  </w:r>
                </w:p>
              </w:tc>
              <w:tc>
                <w:tcPr>
                  <w:tcW w:w="525" w:type="pct"/>
                  <w:vMerge w:val="continue"/>
                  <w:tcBorders>
                    <w:tl2br w:val="nil"/>
                    <w:tr2bl w:val="nil"/>
                  </w:tcBorders>
                  <w:vAlign w:val="center"/>
                </w:tcPr>
                <w:p w14:paraId="160FBDF4">
                  <w:pPr>
                    <w:widowControl/>
                    <w:spacing w:line="240" w:lineRule="auto"/>
                    <w:ind w:firstLine="0" w:firstLineChars="0"/>
                    <w:jc w:val="center"/>
                    <w:rPr>
                      <w:rFonts w:hint="eastAsia" w:ascii="仿宋" w:hAnsi="仿宋" w:eastAsia="仿宋" w:cs="仿宋"/>
                      <w:color w:val="auto"/>
                      <w:sz w:val="18"/>
                      <w:szCs w:val="18"/>
                      <w:highlight w:val="none"/>
                    </w:rPr>
                  </w:pPr>
                </w:p>
              </w:tc>
              <w:tc>
                <w:tcPr>
                  <w:tcW w:w="511" w:type="pct"/>
                  <w:vMerge w:val="continue"/>
                  <w:tcBorders>
                    <w:tl2br w:val="nil"/>
                    <w:tr2bl w:val="nil"/>
                  </w:tcBorders>
                  <w:vAlign w:val="center"/>
                </w:tcPr>
                <w:p w14:paraId="4B62D58F">
                  <w:pPr>
                    <w:widowControl/>
                    <w:spacing w:line="240" w:lineRule="auto"/>
                    <w:ind w:firstLine="0" w:firstLineChars="0"/>
                    <w:jc w:val="center"/>
                    <w:rPr>
                      <w:rFonts w:hint="eastAsia" w:ascii="仿宋" w:hAnsi="仿宋" w:eastAsia="仿宋" w:cs="仿宋"/>
                      <w:color w:val="auto"/>
                      <w:sz w:val="18"/>
                      <w:szCs w:val="18"/>
                      <w:highlight w:val="none"/>
                    </w:rPr>
                  </w:pPr>
                </w:p>
              </w:tc>
              <w:tc>
                <w:tcPr>
                  <w:tcW w:w="511" w:type="pct"/>
                  <w:vMerge w:val="continue"/>
                  <w:tcBorders>
                    <w:tl2br w:val="nil"/>
                    <w:tr2bl w:val="nil"/>
                  </w:tcBorders>
                  <w:vAlign w:val="center"/>
                </w:tcPr>
                <w:p w14:paraId="08E3AF1A">
                  <w:pPr>
                    <w:widowControl/>
                    <w:spacing w:line="240" w:lineRule="auto"/>
                    <w:ind w:firstLine="0" w:firstLineChars="0"/>
                    <w:jc w:val="center"/>
                    <w:rPr>
                      <w:rFonts w:hint="eastAsia" w:ascii="仿宋" w:hAnsi="仿宋" w:eastAsia="仿宋" w:cs="仿宋"/>
                      <w:color w:val="auto"/>
                      <w:sz w:val="18"/>
                      <w:szCs w:val="18"/>
                      <w:highlight w:val="none"/>
                    </w:rPr>
                  </w:pPr>
                </w:p>
              </w:tc>
            </w:tr>
            <w:tr w14:paraId="5B4A6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8" w:type="pct"/>
                  <w:tcBorders>
                    <w:tl2br w:val="nil"/>
                    <w:tr2bl w:val="nil"/>
                  </w:tcBorders>
                  <w:vAlign w:val="center"/>
                </w:tcPr>
                <w:p w14:paraId="46A6444C">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TSP</w:t>
                  </w:r>
                </w:p>
              </w:tc>
              <w:tc>
                <w:tcPr>
                  <w:tcW w:w="890" w:type="pct"/>
                  <w:tcBorders>
                    <w:tl2br w:val="nil"/>
                    <w:tr2bl w:val="nil"/>
                  </w:tcBorders>
                  <w:vAlign w:val="center"/>
                </w:tcPr>
                <w:p w14:paraId="269F700F">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24小时平均</w:t>
                  </w:r>
                </w:p>
              </w:tc>
              <w:tc>
                <w:tcPr>
                  <w:tcW w:w="400" w:type="pct"/>
                  <w:tcBorders>
                    <w:tl2br w:val="nil"/>
                    <w:tr2bl w:val="nil"/>
                  </w:tcBorders>
                  <w:vAlign w:val="center"/>
                </w:tcPr>
                <w:p w14:paraId="1E8C6B06">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300</w:t>
                  </w:r>
                </w:p>
              </w:tc>
              <w:tc>
                <w:tcPr>
                  <w:tcW w:w="441" w:type="pct"/>
                  <w:tcBorders>
                    <w:tl2br w:val="nil"/>
                    <w:tr2bl w:val="nil"/>
                  </w:tcBorders>
                  <w:vAlign w:val="center"/>
                </w:tcPr>
                <w:p w14:paraId="19678C6B">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μg/m</w:t>
                  </w:r>
                  <w:r>
                    <w:rPr>
                      <w:rFonts w:hint="eastAsia" w:ascii="仿宋" w:hAnsi="仿宋" w:eastAsia="仿宋" w:cs="仿宋"/>
                      <w:color w:val="auto"/>
                      <w:kern w:val="0"/>
                      <w:sz w:val="18"/>
                      <w:szCs w:val="18"/>
                      <w:highlight w:val="none"/>
                      <w:vertAlign w:val="superscript"/>
                      <w:lang w:bidi="ar"/>
                    </w:rPr>
                    <w:t>3</w:t>
                  </w:r>
                </w:p>
              </w:tc>
              <w:tc>
                <w:tcPr>
                  <w:tcW w:w="598" w:type="pct"/>
                  <w:tcBorders>
                    <w:tl2br w:val="nil"/>
                    <w:tr2bl w:val="nil"/>
                  </w:tcBorders>
                  <w:vAlign w:val="center"/>
                </w:tcPr>
                <w:p w14:paraId="02E3BCE1">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102</w:t>
                  </w:r>
                </w:p>
              </w:tc>
              <w:tc>
                <w:tcPr>
                  <w:tcW w:w="602" w:type="pct"/>
                  <w:tcBorders>
                    <w:tl2br w:val="nil"/>
                    <w:tr2bl w:val="nil"/>
                  </w:tcBorders>
                  <w:vAlign w:val="center"/>
                </w:tcPr>
                <w:p w14:paraId="1474708C">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107</w:t>
                  </w:r>
                </w:p>
              </w:tc>
              <w:tc>
                <w:tcPr>
                  <w:tcW w:w="525" w:type="pct"/>
                  <w:tcBorders>
                    <w:tl2br w:val="nil"/>
                    <w:tr2bl w:val="nil"/>
                  </w:tcBorders>
                  <w:vAlign w:val="center"/>
                </w:tcPr>
                <w:p w14:paraId="44B77C60">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36</w:t>
                  </w:r>
                </w:p>
              </w:tc>
              <w:tc>
                <w:tcPr>
                  <w:tcW w:w="511" w:type="pct"/>
                  <w:tcBorders>
                    <w:tl2br w:val="nil"/>
                    <w:tr2bl w:val="nil"/>
                  </w:tcBorders>
                  <w:vAlign w:val="center"/>
                </w:tcPr>
                <w:p w14:paraId="1BC3E864">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w:t>
                  </w:r>
                </w:p>
              </w:tc>
              <w:tc>
                <w:tcPr>
                  <w:tcW w:w="511" w:type="pct"/>
                  <w:tcBorders>
                    <w:tl2br w:val="nil"/>
                    <w:tr2bl w:val="nil"/>
                  </w:tcBorders>
                  <w:vAlign w:val="center"/>
                </w:tcPr>
                <w:p w14:paraId="6B5271E2">
                  <w:pPr>
                    <w:widowControl/>
                    <w:spacing w:line="240" w:lineRule="auto"/>
                    <w:ind w:firstLine="0" w:firstLineChars="0"/>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达标</w:t>
                  </w:r>
                </w:p>
              </w:tc>
            </w:tr>
          </w:tbl>
          <w:p w14:paraId="574496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napToGrid w:val="0"/>
                <w:color w:val="auto"/>
                <w:kern w:val="0"/>
                <w:sz w:val="24"/>
                <w:szCs w:val="24"/>
                <w:lang w:val="en-US" w:eastAsia="zh-CN"/>
              </w:rPr>
              <w:t>由上表分析可知</w:t>
            </w:r>
            <w:r>
              <w:rPr>
                <w:rFonts w:hint="eastAsia" w:ascii="仿宋" w:hAnsi="仿宋" w:eastAsia="仿宋" w:cs="仿宋"/>
                <w:snapToGrid w:val="0"/>
                <w:color w:val="auto"/>
                <w:kern w:val="0"/>
                <w:sz w:val="24"/>
                <w:szCs w:val="24"/>
              </w:rPr>
              <w:t>，</w:t>
            </w:r>
            <w:r>
              <w:rPr>
                <w:rFonts w:hint="eastAsia" w:ascii="仿宋" w:hAnsi="仿宋" w:eastAsia="仿宋" w:cs="仿宋"/>
                <w:color w:val="auto"/>
                <w:sz w:val="24"/>
                <w:szCs w:val="24"/>
                <w:highlight w:val="none"/>
                <w:lang w:val="en-US" w:eastAsia="zh-CN"/>
              </w:rPr>
              <w:t>TSP</w:t>
            </w:r>
            <w:r>
              <w:rPr>
                <w:rFonts w:hint="eastAsia" w:ascii="仿宋" w:hAnsi="仿宋" w:eastAsia="仿宋" w:cs="仿宋"/>
                <w:color w:val="auto"/>
                <w:sz w:val="24"/>
                <w:szCs w:val="24"/>
                <w:highlight w:val="none"/>
              </w:rPr>
              <w:t>满足《环境空气质量标准》（GB3095-2012）</w:t>
            </w:r>
            <w:r>
              <w:rPr>
                <w:rFonts w:hint="eastAsia" w:ascii="仿宋" w:hAnsi="仿宋" w:eastAsia="仿宋" w:cs="仿宋"/>
                <w:color w:val="auto"/>
                <w:sz w:val="24"/>
                <w:szCs w:val="24"/>
                <w:highlight w:val="none"/>
                <w:lang w:val="en-US" w:eastAsia="zh-CN"/>
              </w:rPr>
              <w:t>标准限值</w:t>
            </w:r>
            <w:r>
              <w:rPr>
                <w:rFonts w:hint="eastAsia" w:ascii="仿宋" w:hAnsi="仿宋" w:eastAsia="仿宋" w:cs="仿宋"/>
                <w:sz w:val="24"/>
                <w:szCs w:val="24"/>
                <w:lang w:val="en-US" w:eastAsia="zh-CN"/>
              </w:rPr>
              <w:t>。</w:t>
            </w:r>
          </w:p>
          <w:p w14:paraId="2B62A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napToGrid w:val="0"/>
                <w:color w:val="auto"/>
                <w:kern w:val="0"/>
                <w:sz w:val="21"/>
                <w:szCs w:val="21"/>
                <w:highlight w:val="none"/>
                <w:lang w:val="en-US" w:eastAsia="zh-CN"/>
              </w:rPr>
            </w:pPr>
            <w:r>
              <w:drawing>
                <wp:inline distT="0" distB="0" distL="114300" distR="114300">
                  <wp:extent cx="5238750" cy="3548380"/>
                  <wp:effectExtent l="0" t="0" r="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8750" cy="3548380"/>
                          </a:xfrm>
                          <a:prstGeom prst="rect">
                            <a:avLst/>
                          </a:prstGeom>
                          <a:noFill/>
                          <a:ln>
                            <a:noFill/>
                          </a:ln>
                        </pic:spPr>
                      </pic:pic>
                    </a:graphicData>
                  </a:graphic>
                </wp:inline>
              </w:drawing>
            </w:r>
          </w:p>
          <w:p w14:paraId="12ABE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napToGrid w:val="0"/>
                <w:color w:val="auto"/>
                <w:kern w:val="0"/>
                <w:sz w:val="21"/>
                <w:szCs w:val="21"/>
                <w:lang w:val="en-US" w:eastAsia="zh-CN"/>
              </w:rPr>
            </w:pPr>
            <w:r>
              <w:rPr>
                <w:rFonts w:hint="eastAsia" w:ascii="仿宋" w:hAnsi="仿宋" w:eastAsia="仿宋" w:cs="仿宋"/>
                <w:b/>
                <w:bCs/>
                <w:snapToGrid w:val="0"/>
                <w:color w:val="auto"/>
                <w:kern w:val="0"/>
                <w:sz w:val="21"/>
                <w:szCs w:val="21"/>
                <w:highlight w:val="none"/>
                <w:lang w:val="en-US" w:eastAsia="zh-CN"/>
              </w:rPr>
              <w:t>图3-1 大气监测点位分布图</w:t>
            </w:r>
          </w:p>
          <w:p w14:paraId="0B8388B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napToGrid w:val="0"/>
                <w:color w:val="FF0000"/>
                <w:kern w:val="0"/>
                <w:sz w:val="24"/>
                <w:szCs w:val="24"/>
                <w:lang w:val="en-US" w:eastAsia="zh-CN"/>
              </w:rPr>
            </w:pPr>
            <w:r>
              <w:rPr>
                <w:rFonts w:hint="eastAsia" w:ascii="仿宋" w:hAnsi="仿宋" w:eastAsia="仿宋" w:cs="仿宋"/>
                <w:b/>
                <w:bCs/>
                <w:snapToGrid w:val="0"/>
                <w:color w:val="auto"/>
                <w:kern w:val="0"/>
                <w:sz w:val="24"/>
                <w:szCs w:val="24"/>
                <w:lang w:val="en-US" w:eastAsia="zh-CN"/>
              </w:rPr>
              <w:t>2、</w:t>
            </w:r>
            <w:r>
              <w:rPr>
                <w:rFonts w:hint="eastAsia" w:ascii="仿宋" w:hAnsi="仿宋" w:eastAsia="仿宋" w:cs="仿宋"/>
                <w:b/>
                <w:bCs/>
                <w:snapToGrid w:val="0"/>
                <w:color w:val="auto"/>
                <w:kern w:val="0"/>
                <w:sz w:val="24"/>
                <w:szCs w:val="24"/>
              </w:rPr>
              <w:t>地表水</w:t>
            </w:r>
            <w:r>
              <w:rPr>
                <w:rFonts w:hint="eastAsia" w:ascii="仿宋" w:hAnsi="仿宋" w:eastAsia="仿宋" w:cs="仿宋"/>
                <w:b/>
                <w:bCs/>
                <w:snapToGrid w:val="0"/>
                <w:color w:val="auto"/>
                <w:kern w:val="0"/>
                <w:sz w:val="24"/>
                <w:szCs w:val="24"/>
                <w:lang w:val="en-US" w:eastAsia="zh-CN"/>
              </w:rPr>
              <w:t>环境</w:t>
            </w:r>
          </w:p>
          <w:p w14:paraId="76D7A2BA">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根据淮南市生态环境局发布的《202</w:t>
            </w:r>
            <w:r>
              <w:rPr>
                <w:rFonts w:hint="eastAsia" w:ascii="仿宋" w:hAnsi="仿宋" w:eastAsia="仿宋" w:cs="仿宋"/>
                <w:color w:val="auto"/>
                <w:sz w:val="24"/>
                <w:lang w:val="en-US" w:eastAsia="zh-CN"/>
              </w:rPr>
              <w:t>3</w:t>
            </w:r>
            <w:r>
              <w:rPr>
                <w:rFonts w:hint="eastAsia" w:ascii="仿宋" w:hAnsi="仿宋" w:eastAsia="仿宋" w:cs="仿宋"/>
                <w:color w:val="auto"/>
                <w:sz w:val="24"/>
              </w:rPr>
              <w:t>年淮南市环境质量状况公报》，2023年，全市地表水24个监测断面中优良水质比例为95.8%，比上年提升了16.6个百分点，Ⅳ类水质比例4.2%，总体水质状况优。</w:t>
            </w:r>
          </w:p>
          <w:p w14:paraId="2D26A64E">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12EB1428">
            <w:pPr>
              <w:adjustRightInd w:val="0"/>
              <w:snapToGrid w:val="0"/>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587B76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FF0000"/>
                <w:sz w:val="24"/>
                <w:szCs w:val="24"/>
              </w:rPr>
            </w:pPr>
            <w:r>
              <w:rPr>
                <w:rFonts w:hint="eastAsia" w:ascii="仿宋" w:hAnsi="仿宋" w:eastAsia="仿宋" w:cs="仿宋"/>
                <w:b/>
                <w:bCs/>
                <w:snapToGrid w:val="0"/>
                <w:color w:val="auto"/>
                <w:kern w:val="0"/>
                <w:sz w:val="24"/>
                <w:szCs w:val="24"/>
                <w:lang w:val="en-US" w:eastAsia="zh-CN"/>
              </w:rPr>
              <w:t>3、</w:t>
            </w:r>
            <w:r>
              <w:rPr>
                <w:rFonts w:hint="eastAsia" w:ascii="仿宋" w:hAnsi="仿宋" w:eastAsia="仿宋" w:cs="仿宋"/>
                <w:b/>
                <w:bCs/>
                <w:snapToGrid w:val="0"/>
                <w:color w:val="auto"/>
                <w:kern w:val="0"/>
                <w:sz w:val="24"/>
                <w:szCs w:val="24"/>
              </w:rPr>
              <w:t>声环境质量</w:t>
            </w:r>
          </w:p>
          <w:p w14:paraId="55117B9D">
            <w:pPr>
              <w:pStyle w:val="3"/>
              <w:keepNext/>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项目位于安徽省淮南市大通区上窑镇206国道北侧上窑工业集聚区内，项目周边50m范围内无敏感点。本环评不再进行声环境质量现状检测。</w:t>
            </w:r>
          </w:p>
          <w:p w14:paraId="66688A49">
            <w:pPr>
              <w:pStyle w:val="3"/>
              <w:spacing w:line="360" w:lineRule="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4、生态环境现状</w:t>
            </w:r>
          </w:p>
          <w:p w14:paraId="74895F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项目地址为安徽省淮南市大通区上窑镇206国道北侧上窑工业集聚区内，位于淮南市大通区上窑工业集聚区，位于工业园区内，不再进行生态环境现状调查。</w:t>
            </w:r>
          </w:p>
          <w:p w14:paraId="0198F80F">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5、地下水、土壤</w:t>
            </w:r>
          </w:p>
          <w:p w14:paraId="3383CA5B">
            <w:pPr>
              <w:pStyle w:val="12"/>
              <w:spacing w:line="360" w:lineRule="auto"/>
              <w:ind w:firstLine="480" w:firstLineChars="200"/>
              <w:rPr>
                <w:rFonts w:hint="eastAsia" w:ascii="仿宋" w:hAnsi="仿宋" w:eastAsia="仿宋" w:cs="仿宋"/>
                <w:snapToGrid w:val="0"/>
                <w:kern w:val="0"/>
                <w:sz w:val="24"/>
                <w:szCs w:val="24"/>
                <w:lang w:val="en-US" w:eastAsia="zh-CN"/>
              </w:rPr>
            </w:pPr>
            <w:r>
              <w:rPr>
                <w:rFonts w:hint="eastAsia" w:ascii="仿宋" w:hAnsi="仿宋" w:eastAsia="仿宋" w:cs="仿宋"/>
                <w:snapToGrid w:val="0"/>
                <w:kern w:val="0"/>
                <w:sz w:val="24"/>
                <w:szCs w:val="24"/>
                <w:lang w:val="en-US" w:eastAsia="zh-CN"/>
              </w:rPr>
              <w:t>为了解本项目区域地下水、土壤环境现状，本次引用</w:t>
            </w:r>
            <w:r>
              <w:rPr>
                <w:rFonts w:hint="eastAsia" w:ascii="仿宋" w:hAnsi="仿宋" w:eastAsia="仿宋" w:cs="仿宋"/>
                <w:snapToGrid w:val="0"/>
                <w:kern w:val="0"/>
                <w:sz w:val="24"/>
                <w:szCs w:val="24"/>
              </w:rPr>
              <w:t>《</w:t>
            </w:r>
            <w:r>
              <w:rPr>
                <w:rFonts w:hint="eastAsia" w:ascii="仿宋" w:hAnsi="仿宋" w:eastAsia="仿宋" w:cs="仿宋"/>
                <w:snapToGrid w:val="0"/>
                <w:kern w:val="0"/>
                <w:sz w:val="24"/>
                <w:szCs w:val="24"/>
                <w:lang w:eastAsia="zh-CN"/>
              </w:rPr>
              <w:t>安徽山利金属科技有限公司安徽山利循环科技产业园项目（一期）环境影响报告书</w:t>
            </w:r>
            <w:r>
              <w:rPr>
                <w:rFonts w:hint="eastAsia" w:ascii="仿宋" w:hAnsi="仿宋" w:eastAsia="仿宋" w:cs="仿宋"/>
                <w:snapToGrid w:val="0"/>
                <w:kern w:val="0"/>
                <w:sz w:val="24"/>
                <w:szCs w:val="24"/>
              </w:rPr>
              <w:t>》</w:t>
            </w:r>
            <w:r>
              <w:rPr>
                <w:rFonts w:hint="eastAsia" w:ascii="仿宋" w:hAnsi="仿宋" w:eastAsia="仿宋" w:cs="仿宋"/>
                <w:snapToGrid w:val="0"/>
                <w:kern w:val="0"/>
                <w:sz w:val="24"/>
                <w:szCs w:val="24"/>
                <w:lang w:val="en-US" w:eastAsia="zh-CN"/>
              </w:rPr>
              <w:t>中的数据，做为本项目地下水、土壤的背景值，地下水检测点位为D3，位于本项目厂界西侧，检测时间为</w:t>
            </w:r>
            <w:r>
              <w:rPr>
                <w:rFonts w:hint="default" w:ascii="仿宋" w:hAnsi="仿宋" w:eastAsia="仿宋" w:cs="仿宋"/>
                <w:snapToGrid w:val="0"/>
                <w:kern w:val="0"/>
                <w:sz w:val="24"/>
                <w:szCs w:val="24"/>
              </w:rPr>
              <w:t>2023年8月18日</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lang w:val="en-US" w:eastAsia="zh-CN"/>
              </w:rPr>
              <w:t>距离本项目60m，土壤监测点为TZ1,位于本项目厂界西侧，检测时间为</w:t>
            </w:r>
            <w:r>
              <w:rPr>
                <w:rFonts w:hint="default" w:ascii="仿宋" w:hAnsi="仿宋" w:eastAsia="仿宋" w:cs="仿宋"/>
                <w:snapToGrid w:val="0"/>
                <w:kern w:val="0"/>
                <w:sz w:val="24"/>
                <w:szCs w:val="24"/>
              </w:rPr>
              <w:t>2023年8月</w:t>
            </w:r>
            <w:r>
              <w:rPr>
                <w:rFonts w:hint="eastAsia" w:ascii="仿宋" w:hAnsi="仿宋" w:eastAsia="仿宋" w:cs="仿宋"/>
                <w:snapToGrid w:val="0"/>
                <w:kern w:val="0"/>
                <w:sz w:val="24"/>
                <w:szCs w:val="24"/>
                <w:lang w:val="en-US" w:eastAsia="zh-CN"/>
              </w:rPr>
              <w:t>15</w:t>
            </w:r>
            <w:r>
              <w:rPr>
                <w:rFonts w:hint="default" w:ascii="仿宋" w:hAnsi="仿宋" w:eastAsia="仿宋" w:cs="仿宋"/>
                <w:snapToGrid w:val="0"/>
                <w:kern w:val="0"/>
                <w:sz w:val="24"/>
                <w:szCs w:val="24"/>
              </w:rPr>
              <w:t>日</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lang w:val="en-US" w:eastAsia="zh-CN"/>
              </w:rPr>
              <w:t>距离本项目60m，位于其监测结果如下：</w:t>
            </w:r>
          </w:p>
          <w:p w14:paraId="7555A527">
            <w:pPr>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rPr>
                <w:rFonts w:hint="eastAsia" w:ascii="仿宋" w:hAnsi="仿宋" w:eastAsia="仿宋" w:cs="仿宋"/>
                <w:b/>
                <w:bCs/>
                <w:color w:val="auto"/>
                <w:kern w:val="0"/>
                <w:sz w:val="21"/>
                <w:szCs w:val="21"/>
                <w:lang w:val="en-US" w:eastAsia="zh-CN"/>
              </w:rPr>
            </w:pPr>
            <w:r>
              <w:drawing>
                <wp:inline distT="0" distB="0" distL="114300" distR="114300">
                  <wp:extent cx="5238115" cy="3826510"/>
                  <wp:effectExtent l="0" t="0" r="63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38115" cy="3826510"/>
                          </a:xfrm>
                          <a:prstGeom prst="rect">
                            <a:avLst/>
                          </a:prstGeom>
                          <a:noFill/>
                          <a:ln>
                            <a:noFill/>
                          </a:ln>
                        </pic:spPr>
                      </pic:pic>
                    </a:graphicData>
                  </a:graphic>
                </wp:inline>
              </w:drawing>
            </w:r>
          </w:p>
          <w:p w14:paraId="09E97AF9">
            <w:pPr>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仿宋" w:hAnsi="仿宋" w:eastAsia="仿宋" w:cs="仿宋"/>
                <w:b/>
                <w:bCs/>
                <w:color w:val="auto"/>
                <w:kern w:val="0"/>
                <w:sz w:val="21"/>
                <w:szCs w:val="21"/>
                <w:lang w:val="en-US" w:eastAsia="zh-CN"/>
              </w:rPr>
            </w:pPr>
            <w:r>
              <w:rPr>
                <w:rFonts w:hint="eastAsia" w:ascii="仿宋" w:hAnsi="仿宋" w:eastAsia="仿宋" w:cs="仿宋"/>
                <w:b/>
                <w:bCs/>
                <w:snapToGrid w:val="0"/>
                <w:color w:val="auto"/>
                <w:kern w:val="0"/>
                <w:sz w:val="21"/>
                <w:szCs w:val="21"/>
                <w:highlight w:val="none"/>
                <w:lang w:val="en-US" w:eastAsia="zh-CN"/>
              </w:rPr>
              <w:t>图3-2 地下水、土壤监测点位分布图</w:t>
            </w:r>
          </w:p>
          <w:p w14:paraId="1DC09333">
            <w:pPr>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仿宋" w:hAnsi="仿宋" w:eastAsia="仿宋" w:cs="仿宋"/>
                <w:sz w:val="21"/>
                <w:szCs w:val="21"/>
                <w:lang w:val="en-US" w:eastAsia="zh-CN"/>
              </w:rPr>
            </w:pPr>
            <w:r>
              <w:rPr>
                <w:rFonts w:hint="eastAsia" w:ascii="仿宋" w:hAnsi="仿宋" w:eastAsia="仿宋" w:cs="仿宋"/>
                <w:b/>
                <w:bCs/>
                <w:color w:val="auto"/>
                <w:kern w:val="0"/>
                <w:sz w:val="21"/>
                <w:szCs w:val="21"/>
                <w:lang w:val="en-US" w:eastAsia="zh-CN"/>
              </w:rPr>
              <w:t>表3-3 地下水监测结果</w:t>
            </w:r>
          </w:p>
          <w:tbl>
            <w:tblPr>
              <w:tblStyle w:val="32"/>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4471"/>
              <w:gridCol w:w="3784"/>
            </w:tblGrid>
            <w:tr w14:paraId="705901C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79F9F8BF">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检测项目</w:t>
                  </w:r>
                </w:p>
              </w:tc>
              <w:tc>
                <w:tcPr>
                  <w:tcW w:w="2291" w:type="pct"/>
                  <w:tcBorders>
                    <w:tl2br w:val="nil"/>
                    <w:tr2bl w:val="nil"/>
                  </w:tcBorders>
                  <w:shd w:val="clear" w:color="auto" w:fill="auto"/>
                  <w:vAlign w:val="center"/>
                </w:tcPr>
                <w:p w14:paraId="5B244816">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D3</w:t>
                  </w:r>
                  <w:r>
                    <w:rPr>
                      <w:rStyle w:val="123"/>
                      <w:rFonts w:hint="eastAsia" w:ascii="仿宋" w:hAnsi="仿宋" w:eastAsia="仿宋" w:cs="仿宋"/>
                      <w:b/>
                      <w:bCs/>
                      <w:sz w:val="21"/>
                      <w:szCs w:val="21"/>
                      <w:lang w:val="en-US" w:eastAsia="zh-CN" w:bidi="ar"/>
                    </w:rPr>
                    <w:t>厂界东侧</w:t>
                  </w:r>
                </w:p>
              </w:tc>
            </w:tr>
            <w:tr w14:paraId="09883D6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9064316">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样品性状</w:t>
                  </w:r>
                </w:p>
              </w:tc>
              <w:tc>
                <w:tcPr>
                  <w:tcW w:w="2291" w:type="pct"/>
                  <w:tcBorders>
                    <w:tl2br w:val="nil"/>
                    <w:tr2bl w:val="nil"/>
                  </w:tcBorders>
                  <w:shd w:val="clear" w:color="auto" w:fill="auto"/>
                  <w:vAlign w:val="center"/>
                </w:tcPr>
                <w:p w14:paraId="0FDCF75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无色、无味、清</w:t>
                  </w:r>
                </w:p>
              </w:tc>
            </w:tr>
            <w:tr w14:paraId="67BA7B9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05D1BAC6">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pH</w:t>
                  </w:r>
                  <w:r>
                    <w:rPr>
                      <w:rStyle w:val="123"/>
                      <w:rFonts w:hint="eastAsia" w:ascii="仿宋" w:hAnsi="仿宋" w:eastAsia="仿宋" w:cs="仿宋"/>
                      <w:b w:val="0"/>
                      <w:bCs w:val="0"/>
                      <w:sz w:val="21"/>
                      <w:szCs w:val="21"/>
                      <w:lang w:val="en-US" w:eastAsia="zh-CN" w:bidi="ar"/>
                    </w:rPr>
                    <w:t>（无量纲）</w:t>
                  </w:r>
                </w:p>
              </w:tc>
              <w:tc>
                <w:tcPr>
                  <w:tcW w:w="2291" w:type="pct"/>
                  <w:tcBorders>
                    <w:tl2br w:val="nil"/>
                    <w:tr2bl w:val="nil"/>
                  </w:tcBorders>
                  <w:shd w:val="clear" w:color="auto" w:fill="auto"/>
                  <w:vAlign w:val="center"/>
                </w:tcPr>
                <w:p w14:paraId="7D711B2A">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r>
            <w:tr w14:paraId="6036F68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57F74626">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亚硝酸盐（氮）（</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39088D3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0.442</w:t>
                  </w:r>
                </w:p>
              </w:tc>
            </w:tr>
            <w:tr w14:paraId="762455B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7489365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硝酸盐（氮）（</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116887E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7.56</w:t>
                  </w:r>
                </w:p>
              </w:tc>
            </w:tr>
            <w:tr w14:paraId="6206523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130D56A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挥发酚（</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21F3488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0.0003L</w:t>
                  </w:r>
                </w:p>
              </w:tc>
            </w:tr>
            <w:tr w14:paraId="2C8FDF3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2363A5E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氰化物（</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2C38BEF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0.002L</w:t>
                  </w:r>
                </w:p>
              </w:tc>
            </w:tr>
            <w:tr w14:paraId="3F9746E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5FC02925">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氟化物（</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479B9F1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0.71</w:t>
                  </w:r>
                </w:p>
              </w:tc>
            </w:tr>
            <w:tr w14:paraId="57C8709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ADDB51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总硬度（钙和镁总量）（</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0D301ED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261</w:t>
                  </w:r>
                </w:p>
              </w:tc>
            </w:tr>
            <w:tr w14:paraId="6CA8B28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39401AF">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溶解性总固体（</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213A627A">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453</w:t>
                  </w:r>
                </w:p>
              </w:tc>
            </w:tr>
            <w:tr w14:paraId="14D13A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FCFE2F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耗氧量（</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31D9254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2.6</w:t>
                  </w:r>
                </w:p>
              </w:tc>
            </w:tr>
            <w:tr w14:paraId="75396D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68F05C00">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砷（</w:t>
                  </w:r>
                  <w:r>
                    <w:rPr>
                      <w:rStyle w:val="119"/>
                      <w:rFonts w:hint="eastAsia" w:ascii="仿宋" w:hAnsi="仿宋" w:eastAsia="仿宋" w:cs="仿宋"/>
                      <w:b w:val="0"/>
                      <w:bCs w:val="0"/>
                      <w:sz w:val="21"/>
                      <w:szCs w:val="21"/>
                      <w:lang w:val="en-US" w:eastAsia="zh-CN" w:bidi="ar"/>
                    </w:rPr>
                    <w:t>μg/L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6EF9541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w:t>
                  </w:r>
                </w:p>
              </w:tc>
            </w:tr>
            <w:tr w14:paraId="18E070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D140274">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汞（</w:t>
                  </w:r>
                  <w:r>
                    <w:rPr>
                      <w:rStyle w:val="119"/>
                      <w:rFonts w:hint="eastAsia" w:ascii="仿宋" w:hAnsi="仿宋" w:eastAsia="仿宋" w:cs="仿宋"/>
                      <w:b w:val="0"/>
                      <w:bCs w:val="0"/>
                      <w:sz w:val="21"/>
                      <w:szCs w:val="21"/>
                      <w:lang w:val="en-US" w:eastAsia="zh-CN" w:bidi="ar"/>
                    </w:rPr>
                    <w:t>μg/L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6216E340">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0.04L</w:t>
                  </w:r>
                </w:p>
              </w:tc>
            </w:tr>
            <w:tr w14:paraId="719717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09605EF8">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六价铬（</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0433E311">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0.004L</w:t>
                  </w:r>
                </w:p>
              </w:tc>
            </w:tr>
            <w:tr w14:paraId="1AEAB0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47BD9EE4">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铅（</w:t>
                  </w:r>
                  <w:r>
                    <w:rPr>
                      <w:rStyle w:val="119"/>
                      <w:rFonts w:hint="eastAsia" w:ascii="仿宋" w:hAnsi="仿宋" w:eastAsia="仿宋" w:cs="仿宋"/>
                      <w:b w:val="0"/>
                      <w:bCs w:val="0"/>
                      <w:sz w:val="21"/>
                      <w:szCs w:val="21"/>
                      <w:lang w:val="en-US" w:eastAsia="zh-CN" w:bidi="ar"/>
                    </w:rPr>
                    <w:t>μg/L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4789962D">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1L</w:t>
                  </w:r>
                </w:p>
              </w:tc>
            </w:tr>
            <w:tr w14:paraId="7DB44F8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160A7329">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镉（</w:t>
                  </w:r>
                  <w:r>
                    <w:rPr>
                      <w:rStyle w:val="119"/>
                      <w:rFonts w:hint="eastAsia" w:ascii="仿宋" w:hAnsi="仿宋" w:eastAsia="仿宋" w:cs="仿宋"/>
                      <w:b w:val="0"/>
                      <w:bCs w:val="0"/>
                      <w:sz w:val="21"/>
                      <w:szCs w:val="21"/>
                      <w:lang w:val="en-US" w:eastAsia="zh-CN" w:bidi="ar"/>
                    </w:rPr>
                    <w:t>μg/L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2B68C5D2">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w:t>
                  </w:r>
                </w:p>
              </w:tc>
            </w:tr>
            <w:tr w14:paraId="048FE8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162FFAA1">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铁（</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336F9351">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0.03L</w:t>
                  </w:r>
                </w:p>
              </w:tc>
            </w:tr>
            <w:tr w14:paraId="42B47D6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22F399E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锰（</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2EE38C2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0.01L</w:t>
                  </w:r>
                </w:p>
              </w:tc>
            </w:tr>
            <w:tr w14:paraId="25314A1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59FA7B44">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总大肠菌群（</w:t>
                  </w:r>
                  <w:r>
                    <w:rPr>
                      <w:rStyle w:val="119"/>
                      <w:rFonts w:hint="eastAsia" w:ascii="仿宋" w:hAnsi="仿宋" w:eastAsia="仿宋" w:cs="仿宋"/>
                      <w:b w:val="0"/>
                      <w:bCs w:val="0"/>
                      <w:sz w:val="21"/>
                      <w:szCs w:val="21"/>
                      <w:lang w:val="en-US" w:eastAsia="zh-CN" w:bidi="ar"/>
                    </w:rPr>
                    <w:t>MPN/100mL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142E3965">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2L</w:t>
                  </w:r>
                </w:p>
              </w:tc>
            </w:tr>
            <w:tr w14:paraId="05057B6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78FF8D2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菌落总数（</w:t>
                  </w:r>
                  <w:r>
                    <w:rPr>
                      <w:rStyle w:val="119"/>
                      <w:rFonts w:hint="eastAsia" w:ascii="仿宋" w:hAnsi="仿宋" w:eastAsia="仿宋" w:cs="仿宋"/>
                      <w:b w:val="0"/>
                      <w:bCs w:val="0"/>
                      <w:sz w:val="21"/>
                      <w:szCs w:val="21"/>
                      <w:lang w:val="en-US" w:eastAsia="zh-CN" w:bidi="ar"/>
                    </w:rPr>
                    <w:t>CFU/mL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1E0A05F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97</w:t>
                  </w:r>
                </w:p>
              </w:tc>
            </w:tr>
            <w:tr w14:paraId="5FA9BA3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0B6A6F81">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硫酸盐（</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7AB5C75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187</w:t>
                  </w:r>
                </w:p>
              </w:tc>
            </w:tr>
            <w:tr w14:paraId="0AF08CE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58C62ACD">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氯化物（</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46048289">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59.9</w:t>
                  </w:r>
                </w:p>
              </w:tc>
            </w:tr>
            <w:tr w14:paraId="556BF0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6DE298A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钾（</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711AB398">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8.87</w:t>
                  </w:r>
                </w:p>
              </w:tc>
            </w:tr>
            <w:tr w14:paraId="58096ED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33917702">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钠（</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5320F36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36.6</w:t>
                  </w:r>
                </w:p>
              </w:tc>
            </w:tr>
            <w:tr w14:paraId="09A009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1B9A9A8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钙（</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67806C3A">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92.9</w:t>
                  </w:r>
                </w:p>
              </w:tc>
            </w:tr>
            <w:tr w14:paraId="5D59ABF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56A26B1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镁（</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44B8B9F0">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4.43</w:t>
                  </w:r>
                </w:p>
              </w:tc>
            </w:tr>
            <w:tr w14:paraId="3ABBF4F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0414E9E7">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碳酸根（</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7A3AD8EF">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5L</w:t>
                  </w:r>
                </w:p>
              </w:tc>
            </w:tr>
            <w:tr w14:paraId="0881354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2708" w:type="pct"/>
                  <w:tcBorders>
                    <w:tl2br w:val="nil"/>
                    <w:tr2bl w:val="nil"/>
                  </w:tcBorders>
                  <w:shd w:val="clear" w:color="auto" w:fill="auto"/>
                  <w:vAlign w:val="center"/>
                </w:tcPr>
                <w:p w14:paraId="750F979E">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碳酸氢根（</w:t>
                  </w:r>
                  <w:r>
                    <w:rPr>
                      <w:rStyle w:val="119"/>
                      <w:rFonts w:hint="eastAsia" w:ascii="仿宋" w:hAnsi="仿宋" w:eastAsia="仿宋" w:cs="仿宋"/>
                      <w:b w:val="0"/>
                      <w:bCs w:val="0"/>
                      <w:sz w:val="21"/>
                      <w:szCs w:val="21"/>
                      <w:lang w:val="en-US" w:eastAsia="zh-CN" w:bidi="ar"/>
                    </w:rPr>
                    <w:t>mg/L</w:t>
                  </w:r>
                  <w:r>
                    <w:rPr>
                      <w:rStyle w:val="123"/>
                      <w:rFonts w:hint="eastAsia" w:ascii="仿宋" w:hAnsi="仿宋" w:eastAsia="仿宋" w:cs="仿宋"/>
                      <w:b w:val="0"/>
                      <w:bCs w:val="0"/>
                      <w:sz w:val="21"/>
                      <w:szCs w:val="21"/>
                      <w:lang w:val="en-US" w:eastAsia="zh-CN" w:bidi="ar"/>
                    </w:rPr>
                    <w:t>）</w:t>
                  </w:r>
                </w:p>
              </w:tc>
              <w:tc>
                <w:tcPr>
                  <w:tcW w:w="2291" w:type="pct"/>
                  <w:tcBorders>
                    <w:tl2br w:val="nil"/>
                    <w:tr2bl w:val="nil"/>
                  </w:tcBorders>
                  <w:shd w:val="clear" w:color="auto" w:fill="auto"/>
                  <w:vAlign w:val="center"/>
                </w:tcPr>
                <w:p w14:paraId="6E49974B">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110</w:t>
                  </w:r>
                </w:p>
              </w:tc>
            </w:tr>
            <w:tr w14:paraId="1ED1537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5000" w:type="pct"/>
                  <w:gridSpan w:val="2"/>
                  <w:tcBorders>
                    <w:tl2br w:val="nil"/>
                    <w:tr2bl w:val="nil"/>
                  </w:tcBorders>
                  <w:shd w:val="clear" w:color="auto" w:fill="auto"/>
                  <w:vAlign w:val="center"/>
                </w:tcPr>
                <w:p w14:paraId="12094B4C">
                  <w:pPr>
                    <w:keepNext w:val="0"/>
                    <w:keepLines w:val="0"/>
                    <w:widowControl/>
                    <w:suppressLineNumbers w:val="0"/>
                    <w:spacing w:line="24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备注：</w:t>
                  </w:r>
                  <w:r>
                    <w:rPr>
                      <w:rStyle w:val="119"/>
                      <w:rFonts w:hint="eastAsia" w:ascii="仿宋" w:hAnsi="仿宋" w:eastAsia="仿宋" w:cs="仿宋"/>
                      <w:b w:val="0"/>
                      <w:bCs w:val="0"/>
                      <w:sz w:val="21"/>
                      <w:szCs w:val="21"/>
                      <w:lang w:val="en-US" w:eastAsia="zh-CN" w:bidi="ar"/>
                    </w:rPr>
                    <w:t>“L”</w:t>
                  </w:r>
                  <w:r>
                    <w:rPr>
                      <w:rStyle w:val="123"/>
                      <w:rFonts w:hint="eastAsia" w:ascii="仿宋" w:hAnsi="仿宋" w:eastAsia="仿宋" w:cs="仿宋"/>
                      <w:b w:val="0"/>
                      <w:bCs w:val="0"/>
                      <w:sz w:val="21"/>
                      <w:szCs w:val="21"/>
                      <w:lang w:val="en-US" w:eastAsia="zh-CN" w:bidi="ar"/>
                    </w:rPr>
                    <w:t>表示低于检出限</w:t>
                  </w:r>
                </w:p>
              </w:tc>
            </w:tr>
          </w:tbl>
          <w:p w14:paraId="6B5F5886">
            <w:pPr>
              <w:keepNext w:val="0"/>
              <w:keepLines w:val="0"/>
              <w:suppressLineNumbers w:val="0"/>
              <w:adjustRightInd w:val="0"/>
              <w:spacing w:before="0" w:beforeAutospacing="0" w:after="0" w:afterAutospacing="0" w:line="360" w:lineRule="auto"/>
              <w:ind w:left="0" w:right="0" w:firstLine="480" w:firstLineChars="200"/>
              <w:rPr>
                <w:rFonts w:hint="eastAsia" w:ascii="仿宋" w:hAnsi="仿宋" w:eastAsia="仿宋" w:cs="仿宋"/>
                <w:b w:val="0"/>
                <w:bCs w:val="0"/>
                <w:color w:val="auto"/>
                <w:kern w:val="0"/>
                <w:sz w:val="24"/>
                <w:szCs w:val="20"/>
                <w:lang w:val="en-US" w:eastAsia="zh-CN" w:bidi="ar-SA"/>
              </w:rPr>
            </w:pPr>
            <w:r>
              <w:rPr>
                <w:rFonts w:hint="eastAsia" w:ascii="仿宋" w:hAnsi="仿宋" w:eastAsia="仿宋" w:cs="仿宋"/>
                <w:b w:val="0"/>
                <w:bCs w:val="0"/>
                <w:color w:val="auto"/>
                <w:kern w:val="0"/>
                <w:sz w:val="24"/>
                <w:szCs w:val="20"/>
                <w:lang w:val="en-US" w:eastAsia="zh-CN" w:bidi="ar-SA"/>
              </w:rPr>
              <w:t>根据监测结果可知，项目所在地的地下水水质监测指标均能满足《地下水质量标准》（GB/T14848-2017）III类标准要求。</w:t>
            </w:r>
          </w:p>
          <w:p w14:paraId="00852986">
            <w:pPr>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kern w:val="0"/>
                <w:sz w:val="21"/>
                <w:szCs w:val="21"/>
                <w:lang w:val="en-US" w:eastAsia="zh-CN"/>
              </w:rPr>
              <w:t>表3-4 土壤监测结果</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2042"/>
              <w:gridCol w:w="1256"/>
              <w:gridCol w:w="1646"/>
              <w:gridCol w:w="1646"/>
              <w:gridCol w:w="1664"/>
            </w:tblGrid>
            <w:tr w14:paraId="1F7C16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13" w:hRule="atLeast"/>
              </w:trPr>
              <w:tc>
                <w:tcPr>
                  <w:tcW w:w="1998" w:type="pct"/>
                  <w:gridSpan w:val="2"/>
                  <w:vMerge w:val="restart"/>
                  <w:tcBorders>
                    <w:tl2br w:val="nil"/>
                    <w:tr2bl w:val="nil"/>
                  </w:tcBorders>
                  <w:shd w:val="clear" w:color="auto" w:fill="auto"/>
                  <w:vAlign w:val="center"/>
                </w:tcPr>
                <w:p w14:paraId="4DCEC2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检测点位、样品编号</w:t>
                  </w:r>
                </w:p>
              </w:tc>
              <w:tc>
                <w:tcPr>
                  <w:tcW w:w="3001" w:type="pct"/>
                  <w:gridSpan w:val="3"/>
                  <w:tcBorders>
                    <w:tl2br w:val="nil"/>
                    <w:tr2bl w:val="nil"/>
                  </w:tcBorders>
                  <w:shd w:val="clear" w:color="auto" w:fill="auto"/>
                  <w:vAlign w:val="center"/>
                </w:tcPr>
                <w:p w14:paraId="68A385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采样日期：</w:t>
                  </w:r>
                  <w:r>
                    <w:rPr>
                      <w:rStyle w:val="119"/>
                      <w:rFonts w:hint="eastAsia" w:ascii="仿宋" w:hAnsi="仿宋" w:eastAsia="仿宋" w:cs="仿宋"/>
                      <w:b w:val="0"/>
                      <w:bCs w:val="0"/>
                      <w:sz w:val="21"/>
                      <w:szCs w:val="21"/>
                      <w:lang w:val="en-US" w:eastAsia="zh-CN" w:bidi="ar"/>
                    </w:rPr>
                    <w:t>2023.08.15</w:t>
                  </w:r>
                </w:p>
              </w:tc>
            </w:tr>
            <w:tr w14:paraId="1F39FF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998" w:type="pct"/>
                  <w:gridSpan w:val="2"/>
                  <w:vMerge w:val="continue"/>
                  <w:tcBorders>
                    <w:tl2br w:val="nil"/>
                    <w:tr2bl w:val="nil"/>
                  </w:tcBorders>
                  <w:shd w:val="clear" w:color="auto" w:fill="auto"/>
                  <w:vAlign w:val="center"/>
                </w:tcPr>
                <w:p w14:paraId="4576171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b w:val="0"/>
                      <w:bCs w:val="0"/>
                      <w:i w:val="0"/>
                      <w:iCs w:val="0"/>
                      <w:color w:val="000000"/>
                      <w:sz w:val="21"/>
                      <w:szCs w:val="21"/>
                      <w:u w:val="none"/>
                    </w:rPr>
                  </w:pPr>
                </w:p>
              </w:tc>
              <w:tc>
                <w:tcPr>
                  <w:tcW w:w="3001" w:type="pct"/>
                  <w:gridSpan w:val="3"/>
                  <w:tcBorders>
                    <w:tl2br w:val="nil"/>
                    <w:tr2bl w:val="nil"/>
                  </w:tcBorders>
                  <w:shd w:val="clear" w:color="auto" w:fill="auto"/>
                  <w:vAlign w:val="center"/>
                </w:tcPr>
                <w:p w14:paraId="57BDD8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环保设备区域</w:t>
                  </w:r>
                </w:p>
              </w:tc>
            </w:tr>
            <w:tr w14:paraId="24CFFE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vMerge w:val="restart"/>
                  <w:tcBorders>
                    <w:tl2br w:val="nil"/>
                    <w:tr2bl w:val="nil"/>
                  </w:tcBorders>
                  <w:shd w:val="clear" w:color="auto" w:fill="auto"/>
                  <w:vAlign w:val="center"/>
                </w:tcPr>
                <w:p w14:paraId="0EBA29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检测项目</w:t>
                  </w:r>
                </w:p>
              </w:tc>
              <w:tc>
                <w:tcPr>
                  <w:tcW w:w="761" w:type="pct"/>
                  <w:vMerge w:val="restart"/>
                  <w:tcBorders>
                    <w:tl2br w:val="nil"/>
                    <w:tr2bl w:val="nil"/>
                  </w:tcBorders>
                  <w:shd w:val="clear" w:color="auto" w:fill="auto"/>
                  <w:vAlign w:val="center"/>
                </w:tcPr>
                <w:p w14:paraId="1C9E9E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单位</w:t>
                  </w:r>
                </w:p>
              </w:tc>
              <w:tc>
                <w:tcPr>
                  <w:tcW w:w="997" w:type="pct"/>
                  <w:tcBorders>
                    <w:tl2br w:val="nil"/>
                    <w:tr2bl w:val="nil"/>
                  </w:tcBorders>
                  <w:shd w:val="clear" w:color="auto" w:fill="auto"/>
                  <w:vAlign w:val="center"/>
                </w:tcPr>
                <w:p w14:paraId="40B52E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TZ1-1</w:t>
                  </w:r>
                </w:p>
              </w:tc>
              <w:tc>
                <w:tcPr>
                  <w:tcW w:w="997" w:type="pct"/>
                  <w:tcBorders>
                    <w:tl2br w:val="nil"/>
                    <w:tr2bl w:val="nil"/>
                  </w:tcBorders>
                  <w:shd w:val="clear" w:color="auto" w:fill="auto"/>
                  <w:vAlign w:val="center"/>
                </w:tcPr>
                <w:p w14:paraId="393FFB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TZ1-2</w:t>
                  </w:r>
                </w:p>
              </w:tc>
              <w:tc>
                <w:tcPr>
                  <w:tcW w:w="1005" w:type="pct"/>
                  <w:tcBorders>
                    <w:tl2br w:val="nil"/>
                    <w:tr2bl w:val="nil"/>
                  </w:tcBorders>
                  <w:shd w:val="clear" w:color="auto" w:fill="auto"/>
                  <w:vAlign w:val="center"/>
                </w:tcPr>
                <w:p w14:paraId="079028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TZ1-3</w:t>
                  </w:r>
                </w:p>
              </w:tc>
            </w:tr>
            <w:tr w14:paraId="64A30F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vMerge w:val="continue"/>
                  <w:tcBorders>
                    <w:tl2br w:val="nil"/>
                    <w:tr2bl w:val="nil"/>
                  </w:tcBorders>
                  <w:shd w:val="clear" w:color="auto" w:fill="auto"/>
                  <w:vAlign w:val="center"/>
                </w:tcPr>
                <w:p w14:paraId="017FE6B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b w:val="0"/>
                      <w:bCs w:val="0"/>
                      <w:i w:val="0"/>
                      <w:iCs w:val="0"/>
                      <w:color w:val="000000"/>
                      <w:sz w:val="21"/>
                      <w:szCs w:val="21"/>
                      <w:u w:val="none"/>
                    </w:rPr>
                  </w:pPr>
                </w:p>
              </w:tc>
              <w:tc>
                <w:tcPr>
                  <w:tcW w:w="761" w:type="pct"/>
                  <w:vMerge w:val="continue"/>
                  <w:tcBorders>
                    <w:tl2br w:val="nil"/>
                    <w:tr2bl w:val="nil"/>
                  </w:tcBorders>
                  <w:shd w:val="clear" w:color="auto" w:fill="auto"/>
                  <w:vAlign w:val="center"/>
                </w:tcPr>
                <w:p w14:paraId="08DCDCA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b w:val="0"/>
                      <w:bCs w:val="0"/>
                      <w:i w:val="0"/>
                      <w:iCs w:val="0"/>
                      <w:color w:val="000000"/>
                      <w:sz w:val="21"/>
                      <w:szCs w:val="21"/>
                      <w:u w:val="none"/>
                    </w:rPr>
                  </w:pPr>
                </w:p>
              </w:tc>
              <w:tc>
                <w:tcPr>
                  <w:tcW w:w="997" w:type="pct"/>
                  <w:tcBorders>
                    <w:tl2br w:val="nil"/>
                    <w:tr2bl w:val="nil"/>
                  </w:tcBorders>
                  <w:shd w:val="clear" w:color="auto" w:fill="auto"/>
                  <w:vAlign w:val="center"/>
                </w:tcPr>
                <w:p w14:paraId="694421D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0-0.5</w:t>
                  </w:r>
                </w:p>
              </w:tc>
              <w:tc>
                <w:tcPr>
                  <w:tcW w:w="997" w:type="pct"/>
                  <w:tcBorders>
                    <w:tl2br w:val="nil"/>
                    <w:tr2bl w:val="nil"/>
                  </w:tcBorders>
                  <w:shd w:val="clear" w:color="auto" w:fill="auto"/>
                  <w:vAlign w:val="center"/>
                </w:tcPr>
                <w:p w14:paraId="7E4F346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1.0-1.5</w:t>
                  </w:r>
                </w:p>
              </w:tc>
              <w:tc>
                <w:tcPr>
                  <w:tcW w:w="1005" w:type="pct"/>
                  <w:tcBorders>
                    <w:tl2br w:val="nil"/>
                    <w:tr2bl w:val="nil"/>
                  </w:tcBorders>
                  <w:shd w:val="clear" w:color="auto" w:fill="auto"/>
                  <w:vAlign w:val="center"/>
                </w:tcPr>
                <w:p w14:paraId="49671F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2.0-2.5</w:t>
                  </w:r>
                </w:p>
              </w:tc>
            </w:tr>
            <w:tr w14:paraId="2D0EEC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B4DDF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镉</w:t>
                  </w:r>
                </w:p>
              </w:tc>
              <w:tc>
                <w:tcPr>
                  <w:tcW w:w="761" w:type="pct"/>
                  <w:tcBorders>
                    <w:tl2br w:val="nil"/>
                    <w:tr2bl w:val="nil"/>
                  </w:tcBorders>
                  <w:shd w:val="clear" w:color="auto" w:fill="auto"/>
                  <w:vAlign w:val="center"/>
                </w:tcPr>
                <w:p w14:paraId="67A9E7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152B10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0.09</w:t>
                  </w:r>
                </w:p>
              </w:tc>
              <w:tc>
                <w:tcPr>
                  <w:tcW w:w="997" w:type="pct"/>
                  <w:tcBorders>
                    <w:tl2br w:val="nil"/>
                    <w:tr2bl w:val="nil"/>
                  </w:tcBorders>
                  <w:shd w:val="clear" w:color="auto" w:fill="auto"/>
                  <w:vAlign w:val="center"/>
                </w:tcPr>
                <w:p w14:paraId="66884F5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0.16</w:t>
                  </w:r>
                </w:p>
              </w:tc>
              <w:tc>
                <w:tcPr>
                  <w:tcW w:w="1005" w:type="pct"/>
                  <w:tcBorders>
                    <w:tl2br w:val="nil"/>
                    <w:tr2bl w:val="nil"/>
                  </w:tcBorders>
                  <w:shd w:val="clear" w:color="auto" w:fill="auto"/>
                  <w:vAlign w:val="center"/>
                </w:tcPr>
                <w:p w14:paraId="2F04B7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0.13</w:t>
                  </w:r>
                </w:p>
              </w:tc>
            </w:tr>
            <w:tr w14:paraId="3E76F2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76ED93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铜</w:t>
                  </w:r>
                </w:p>
              </w:tc>
              <w:tc>
                <w:tcPr>
                  <w:tcW w:w="761" w:type="pct"/>
                  <w:tcBorders>
                    <w:tl2br w:val="nil"/>
                    <w:tr2bl w:val="nil"/>
                  </w:tcBorders>
                  <w:shd w:val="clear" w:color="auto" w:fill="auto"/>
                  <w:vAlign w:val="center"/>
                </w:tcPr>
                <w:p w14:paraId="2283A4B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759988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28</w:t>
                  </w:r>
                </w:p>
              </w:tc>
              <w:tc>
                <w:tcPr>
                  <w:tcW w:w="997" w:type="pct"/>
                  <w:tcBorders>
                    <w:tl2br w:val="nil"/>
                    <w:tr2bl w:val="nil"/>
                  </w:tcBorders>
                  <w:shd w:val="clear" w:color="auto" w:fill="auto"/>
                  <w:vAlign w:val="center"/>
                </w:tcPr>
                <w:p w14:paraId="51FB3E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98</w:t>
                  </w:r>
                </w:p>
              </w:tc>
              <w:tc>
                <w:tcPr>
                  <w:tcW w:w="1005" w:type="pct"/>
                  <w:tcBorders>
                    <w:tl2br w:val="nil"/>
                    <w:tr2bl w:val="nil"/>
                  </w:tcBorders>
                  <w:shd w:val="clear" w:color="auto" w:fill="auto"/>
                  <w:vAlign w:val="center"/>
                </w:tcPr>
                <w:p w14:paraId="7535CDE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103</w:t>
                  </w:r>
                </w:p>
              </w:tc>
            </w:tr>
            <w:tr w14:paraId="1294C7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543E417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汞</w:t>
                  </w:r>
                </w:p>
              </w:tc>
              <w:tc>
                <w:tcPr>
                  <w:tcW w:w="761" w:type="pct"/>
                  <w:tcBorders>
                    <w:tl2br w:val="nil"/>
                    <w:tr2bl w:val="nil"/>
                  </w:tcBorders>
                  <w:shd w:val="clear" w:color="auto" w:fill="auto"/>
                  <w:vAlign w:val="center"/>
                </w:tcPr>
                <w:p w14:paraId="44DE3C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1FFD70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0.199</w:t>
                  </w:r>
                </w:p>
              </w:tc>
              <w:tc>
                <w:tcPr>
                  <w:tcW w:w="997" w:type="pct"/>
                  <w:tcBorders>
                    <w:tl2br w:val="nil"/>
                    <w:tr2bl w:val="nil"/>
                  </w:tcBorders>
                  <w:shd w:val="clear" w:color="auto" w:fill="auto"/>
                  <w:vAlign w:val="center"/>
                </w:tcPr>
                <w:p w14:paraId="26EAFE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0.428</w:t>
                  </w:r>
                </w:p>
              </w:tc>
              <w:tc>
                <w:tcPr>
                  <w:tcW w:w="1005" w:type="pct"/>
                  <w:tcBorders>
                    <w:tl2br w:val="nil"/>
                    <w:tr2bl w:val="nil"/>
                  </w:tcBorders>
                  <w:shd w:val="clear" w:color="auto" w:fill="auto"/>
                  <w:vAlign w:val="center"/>
                </w:tcPr>
                <w:p w14:paraId="4FB952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0.451</w:t>
                  </w:r>
                </w:p>
              </w:tc>
            </w:tr>
            <w:tr w14:paraId="10DA07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7D33DE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镍</w:t>
                  </w:r>
                </w:p>
              </w:tc>
              <w:tc>
                <w:tcPr>
                  <w:tcW w:w="761" w:type="pct"/>
                  <w:tcBorders>
                    <w:tl2br w:val="nil"/>
                    <w:tr2bl w:val="nil"/>
                  </w:tcBorders>
                  <w:shd w:val="clear" w:color="auto" w:fill="auto"/>
                  <w:vAlign w:val="center"/>
                </w:tcPr>
                <w:p w14:paraId="071D82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4E2B8C7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38</w:t>
                  </w:r>
                </w:p>
              </w:tc>
              <w:tc>
                <w:tcPr>
                  <w:tcW w:w="997" w:type="pct"/>
                  <w:tcBorders>
                    <w:tl2br w:val="nil"/>
                    <w:tr2bl w:val="nil"/>
                  </w:tcBorders>
                  <w:shd w:val="clear" w:color="auto" w:fill="auto"/>
                  <w:vAlign w:val="center"/>
                </w:tcPr>
                <w:p w14:paraId="5BB3C3B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57</w:t>
                  </w:r>
                </w:p>
              </w:tc>
              <w:tc>
                <w:tcPr>
                  <w:tcW w:w="1005" w:type="pct"/>
                  <w:tcBorders>
                    <w:tl2br w:val="nil"/>
                    <w:tr2bl w:val="nil"/>
                  </w:tcBorders>
                  <w:shd w:val="clear" w:color="auto" w:fill="auto"/>
                  <w:vAlign w:val="center"/>
                </w:tcPr>
                <w:p w14:paraId="3DC7D6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58</w:t>
                  </w:r>
                </w:p>
              </w:tc>
            </w:tr>
            <w:tr w14:paraId="6F1A115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5F200E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六价铬</w:t>
                  </w:r>
                </w:p>
              </w:tc>
              <w:tc>
                <w:tcPr>
                  <w:tcW w:w="761" w:type="pct"/>
                  <w:tcBorders>
                    <w:tl2br w:val="nil"/>
                    <w:tr2bl w:val="nil"/>
                  </w:tcBorders>
                  <w:shd w:val="clear" w:color="auto" w:fill="auto"/>
                  <w:vAlign w:val="center"/>
                </w:tcPr>
                <w:p w14:paraId="16B680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0A1D34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5FD6F2A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5FA0F8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6207A2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4A334E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氯甲烷</w:t>
                  </w:r>
                </w:p>
              </w:tc>
              <w:tc>
                <w:tcPr>
                  <w:tcW w:w="761" w:type="pct"/>
                  <w:tcBorders>
                    <w:tl2br w:val="nil"/>
                    <w:tr2bl w:val="nil"/>
                  </w:tcBorders>
                  <w:shd w:val="clear" w:color="auto" w:fill="auto"/>
                  <w:vAlign w:val="center"/>
                </w:tcPr>
                <w:p w14:paraId="1EB595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5F9388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89F9C1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278BA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1B7A9E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6E2A43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氯乙烯</w:t>
                  </w:r>
                </w:p>
              </w:tc>
              <w:tc>
                <w:tcPr>
                  <w:tcW w:w="761" w:type="pct"/>
                  <w:tcBorders>
                    <w:tl2br w:val="nil"/>
                    <w:tr2bl w:val="nil"/>
                  </w:tcBorders>
                  <w:shd w:val="clear" w:color="auto" w:fill="auto"/>
                  <w:vAlign w:val="center"/>
                </w:tcPr>
                <w:p w14:paraId="72E383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7E6F8F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9FA7E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7BFD01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603BB7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FEC58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w:t>
                  </w:r>
                  <w:r>
                    <w:rPr>
                      <w:rStyle w:val="123"/>
                      <w:rFonts w:hint="eastAsia" w:ascii="仿宋" w:hAnsi="仿宋" w:eastAsia="仿宋" w:cs="仿宋"/>
                      <w:b w:val="0"/>
                      <w:bCs w:val="0"/>
                      <w:sz w:val="21"/>
                      <w:szCs w:val="21"/>
                      <w:lang w:val="en-US" w:eastAsia="zh-CN" w:bidi="ar"/>
                    </w:rPr>
                    <w:t>二氯乙烯</w:t>
                  </w:r>
                </w:p>
              </w:tc>
              <w:tc>
                <w:tcPr>
                  <w:tcW w:w="761" w:type="pct"/>
                  <w:tcBorders>
                    <w:tl2br w:val="nil"/>
                    <w:tr2bl w:val="nil"/>
                  </w:tcBorders>
                  <w:shd w:val="clear" w:color="auto" w:fill="auto"/>
                  <w:vAlign w:val="center"/>
                </w:tcPr>
                <w:p w14:paraId="2D452C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A1E98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6BBED4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4D21234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DC0A0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0B9C1BB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二氯甲烷</w:t>
                  </w:r>
                </w:p>
              </w:tc>
              <w:tc>
                <w:tcPr>
                  <w:tcW w:w="761" w:type="pct"/>
                  <w:tcBorders>
                    <w:tl2br w:val="nil"/>
                    <w:tr2bl w:val="nil"/>
                  </w:tcBorders>
                  <w:shd w:val="clear" w:color="auto" w:fill="auto"/>
                  <w:vAlign w:val="center"/>
                </w:tcPr>
                <w:p w14:paraId="2AF7C37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582560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64A1F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78AF6D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141417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8622A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反</w:t>
                  </w:r>
                  <w:r>
                    <w:rPr>
                      <w:rStyle w:val="119"/>
                      <w:rFonts w:hint="eastAsia" w:ascii="仿宋" w:hAnsi="仿宋" w:eastAsia="仿宋" w:cs="仿宋"/>
                      <w:b w:val="0"/>
                      <w:bCs w:val="0"/>
                      <w:sz w:val="21"/>
                      <w:szCs w:val="21"/>
                      <w:lang w:val="en-US" w:eastAsia="zh-CN" w:bidi="ar"/>
                    </w:rPr>
                    <w:t>-1,2-</w:t>
                  </w:r>
                  <w:r>
                    <w:rPr>
                      <w:rStyle w:val="123"/>
                      <w:rFonts w:hint="eastAsia" w:ascii="仿宋" w:hAnsi="仿宋" w:eastAsia="仿宋" w:cs="仿宋"/>
                      <w:b w:val="0"/>
                      <w:bCs w:val="0"/>
                      <w:sz w:val="21"/>
                      <w:szCs w:val="21"/>
                      <w:lang w:val="en-US" w:eastAsia="zh-CN" w:bidi="ar"/>
                    </w:rPr>
                    <w:t>二氯乙烯</w:t>
                  </w:r>
                </w:p>
              </w:tc>
              <w:tc>
                <w:tcPr>
                  <w:tcW w:w="761" w:type="pct"/>
                  <w:tcBorders>
                    <w:tl2br w:val="nil"/>
                    <w:tr2bl w:val="nil"/>
                  </w:tcBorders>
                  <w:shd w:val="clear" w:color="auto" w:fill="auto"/>
                  <w:vAlign w:val="center"/>
                </w:tcPr>
                <w:p w14:paraId="63790A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21B860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D2B04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7623C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220C85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D3A0B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w:t>
                  </w:r>
                  <w:r>
                    <w:rPr>
                      <w:rStyle w:val="123"/>
                      <w:rFonts w:hint="eastAsia" w:ascii="仿宋" w:hAnsi="仿宋" w:eastAsia="仿宋" w:cs="仿宋"/>
                      <w:b w:val="0"/>
                      <w:bCs w:val="0"/>
                      <w:sz w:val="21"/>
                      <w:szCs w:val="21"/>
                      <w:lang w:val="en-US" w:eastAsia="zh-CN" w:bidi="ar"/>
                    </w:rPr>
                    <w:t>二氯乙烷</w:t>
                  </w:r>
                </w:p>
              </w:tc>
              <w:tc>
                <w:tcPr>
                  <w:tcW w:w="761" w:type="pct"/>
                  <w:tcBorders>
                    <w:tl2br w:val="nil"/>
                    <w:tr2bl w:val="nil"/>
                  </w:tcBorders>
                  <w:shd w:val="clear" w:color="auto" w:fill="auto"/>
                  <w:vAlign w:val="center"/>
                </w:tcPr>
                <w:p w14:paraId="4498BA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001AF7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0131C3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D67BA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12B7D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E36F5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顺</w:t>
                  </w:r>
                  <w:r>
                    <w:rPr>
                      <w:rStyle w:val="119"/>
                      <w:rFonts w:hint="eastAsia" w:ascii="仿宋" w:hAnsi="仿宋" w:eastAsia="仿宋" w:cs="仿宋"/>
                      <w:b w:val="0"/>
                      <w:bCs w:val="0"/>
                      <w:sz w:val="21"/>
                      <w:szCs w:val="21"/>
                      <w:lang w:val="en-US" w:eastAsia="zh-CN" w:bidi="ar"/>
                    </w:rPr>
                    <w:t>-1,2-</w:t>
                  </w:r>
                  <w:r>
                    <w:rPr>
                      <w:rStyle w:val="123"/>
                      <w:rFonts w:hint="eastAsia" w:ascii="仿宋" w:hAnsi="仿宋" w:eastAsia="仿宋" w:cs="仿宋"/>
                      <w:b w:val="0"/>
                      <w:bCs w:val="0"/>
                      <w:sz w:val="21"/>
                      <w:szCs w:val="21"/>
                      <w:lang w:val="en-US" w:eastAsia="zh-CN" w:bidi="ar"/>
                    </w:rPr>
                    <w:t>二氯乙烯</w:t>
                  </w:r>
                </w:p>
              </w:tc>
              <w:tc>
                <w:tcPr>
                  <w:tcW w:w="761" w:type="pct"/>
                  <w:tcBorders>
                    <w:tl2br w:val="nil"/>
                    <w:tr2bl w:val="nil"/>
                  </w:tcBorders>
                  <w:shd w:val="clear" w:color="auto" w:fill="auto"/>
                  <w:vAlign w:val="center"/>
                </w:tcPr>
                <w:p w14:paraId="7F8E79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0791D7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0A779B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68D41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FB414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4BEDE8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氯仿</w:t>
                  </w:r>
                </w:p>
              </w:tc>
              <w:tc>
                <w:tcPr>
                  <w:tcW w:w="761" w:type="pct"/>
                  <w:tcBorders>
                    <w:tl2br w:val="nil"/>
                    <w:tr2bl w:val="nil"/>
                  </w:tcBorders>
                  <w:shd w:val="clear" w:color="auto" w:fill="auto"/>
                  <w:vAlign w:val="center"/>
                </w:tcPr>
                <w:p w14:paraId="65471B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4E03BE7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A34CD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A0158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FBE03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7D82A7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1,1,1-</w:t>
                  </w:r>
                  <w:r>
                    <w:rPr>
                      <w:rStyle w:val="123"/>
                      <w:rFonts w:hint="eastAsia" w:ascii="仿宋" w:hAnsi="仿宋" w:eastAsia="仿宋" w:cs="仿宋"/>
                      <w:b w:val="0"/>
                      <w:bCs w:val="0"/>
                      <w:sz w:val="21"/>
                      <w:szCs w:val="21"/>
                      <w:lang w:val="en-US" w:eastAsia="zh-CN" w:bidi="ar"/>
                    </w:rPr>
                    <w:t>三氯乙烷</w:t>
                  </w:r>
                </w:p>
              </w:tc>
              <w:tc>
                <w:tcPr>
                  <w:tcW w:w="761" w:type="pct"/>
                  <w:tcBorders>
                    <w:tl2br w:val="nil"/>
                    <w:tr2bl w:val="nil"/>
                  </w:tcBorders>
                  <w:shd w:val="clear" w:color="auto" w:fill="auto"/>
                  <w:vAlign w:val="center"/>
                </w:tcPr>
                <w:p w14:paraId="5345A9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0797D7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C8564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7D1AA7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B3C2F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7D1AD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四氯化碳</w:t>
                  </w:r>
                </w:p>
              </w:tc>
              <w:tc>
                <w:tcPr>
                  <w:tcW w:w="761" w:type="pct"/>
                  <w:tcBorders>
                    <w:tl2br w:val="nil"/>
                    <w:tr2bl w:val="nil"/>
                  </w:tcBorders>
                  <w:shd w:val="clear" w:color="auto" w:fill="auto"/>
                  <w:vAlign w:val="center"/>
                </w:tcPr>
                <w:p w14:paraId="695105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5F28D2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B807D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447789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27F988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AC6954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r>
                    <w:rPr>
                      <w:rStyle w:val="123"/>
                      <w:rFonts w:hint="eastAsia" w:ascii="仿宋" w:hAnsi="仿宋" w:eastAsia="仿宋" w:cs="仿宋"/>
                      <w:b w:val="0"/>
                      <w:bCs w:val="0"/>
                      <w:sz w:val="21"/>
                      <w:szCs w:val="21"/>
                      <w:lang w:val="en-US" w:eastAsia="zh-CN" w:bidi="ar"/>
                    </w:rPr>
                    <w:t>二氯乙烷</w:t>
                  </w:r>
                </w:p>
              </w:tc>
              <w:tc>
                <w:tcPr>
                  <w:tcW w:w="761" w:type="pct"/>
                  <w:tcBorders>
                    <w:tl2br w:val="nil"/>
                    <w:tr2bl w:val="nil"/>
                  </w:tcBorders>
                  <w:shd w:val="clear" w:color="auto" w:fill="auto"/>
                  <w:vAlign w:val="center"/>
                </w:tcPr>
                <w:p w14:paraId="547C9A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48CB44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0BC90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E933A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82CBE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6CAB8E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w:t>
                  </w:r>
                </w:p>
              </w:tc>
              <w:tc>
                <w:tcPr>
                  <w:tcW w:w="761" w:type="pct"/>
                  <w:tcBorders>
                    <w:tl2br w:val="nil"/>
                    <w:tr2bl w:val="nil"/>
                  </w:tcBorders>
                  <w:shd w:val="clear" w:color="auto" w:fill="auto"/>
                  <w:vAlign w:val="center"/>
                </w:tcPr>
                <w:p w14:paraId="6AF417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CE242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6968CF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103195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FF467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008C4B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三氯乙烯</w:t>
                  </w:r>
                </w:p>
              </w:tc>
              <w:tc>
                <w:tcPr>
                  <w:tcW w:w="761" w:type="pct"/>
                  <w:tcBorders>
                    <w:tl2br w:val="nil"/>
                    <w:tr2bl w:val="nil"/>
                  </w:tcBorders>
                  <w:shd w:val="clear" w:color="auto" w:fill="auto"/>
                  <w:vAlign w:val="center"/>
                </w:tcPr>
                <w:p w14:paraId="4F0789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14C772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275109E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049CE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D020D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93174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r>
                    <w:rPr>
                      <w:rStyle w:val="123"/>
                      <w:rFonts w:hint="eastAsia" w:ascii="仿宋" w:hAnsi="仿宋" w:eastAsia="仿宋" w:cs="仿宋"/>
                      <w:b w:val="0"/>
                      <w:bCs w:val="0"/>
                      <w:sz w:val="21"/>
                      <w:szCs w:val="21"/>
                      <w:lang w:val="en-US" w:eastAsia="zh-CN" w:bidi="ar"/>
                    </w:rPr>
                    <w:t>二氯丙烷</w:t>
                  </w:r>
                </w:p>
              </w:tc>
              <w:tc>
                <w:tcPr>
                  <w:tcW w:w="761" w:type="pct"/>
                  <w:tcBorders>
                    <w:tl2br w:val="nil"/>
                    <w:tr2bl w:val="nil"/>
                  </w:tcBorders>
                  <w:shd w:val="clear" w:color="auto" w:fill="auto"/>
                  <w:vAlign w:val="center"/>
                </w:tcPr>
                <w:p w14:paraId="577897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2D30F2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11C9B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4F56F5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29E06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F9B7C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甲苯</w:t>
                  </w:r>
                </w:p>
              </w:tc>
              <w:tc>
                <w:tcPr>
                  <w:tcW w:w="761" w:type="pct"/>
                  <w:tcBorders>
                    <w:tl2br w:val="nil"/>
                    <w:tr2bl w:val="nil"/>
                  </w:tcBorders>
                  <w:shd w:val="clear" w:color="auto" w:fill="auto"/>
                  <w:vAlign w:val="center"/>
                </w:tcPr>
                <w:p w14:paraId="4EBE254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4C97FF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387D28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345F775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F542C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41CC68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1,1,2-</w:t>
                  </w:r>
                  <w:r>
                    <w:rPr>
                      <w:rStyle w:val="123"/>
                      <w:rFonts w:hint="eastAsia" w:ascii="仿宋" w:hAnsi="仿宋" w:eastAsia="仿宋" w:cs="仿宋"/>
                      <w:b w:val="0"/>
                      <w:bCs w:val="0"/>
                      <w:sz w:val="21"/>
                      <w:szCs w:val="21"/>
                      <w:lang w:val="en-US" w:eastAsia="zh-CN" w:bidi="ar"/>
                    </w:rPr>
                    <w:t>三氯乙烷</w:t>
                  </w:r>
                </w:p>
              </w:tc>
              <w:tc>
                <w:tcPr>
                  <w:tcW w:w="761" w:type="pct"/>
                  <w:tcBorders>
                    <w:tl2br w:val="nil"/>
                    <w:tr2bl w:val="nil"/>
                  </w:tcBorders>
                  <w:shd w:val="clear" w:color="auto" w:fill="auto"/>
                  <w:vAlign w:val="center"/>
                </w:tcPr>
                <w:p w14:paraId="7A3DF28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7CAAAD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88572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CF687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B02F5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12A50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四氯乙烯</w:t>
                  </w:r>
                </w:p>
              </w:tc>
              <w:tc>
                <w:tcPr>
                  <w:tcW w:w="761" w:type="pct"/>
                  <w:tcBorders>
                    <w:tl2br w:val="nil"/>
                    <w:tr2bl w:val="nil"/>
                  </w:tcBorders>
                  <w:shd w:val="clear" w:color="auto" w:fill="auto"/>
                  <w:vAlign w:val="center"/>
                </w:tcPr>
                <w:p w14:paraId="40443B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9D3C6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58DD5C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1DBA6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5E031D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4D009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氯苯</w:t>
                  </w:r>
                </w:p>
              </w:tc>
              <w:tc>
                <w:tcPr>
                  <w:tcW w:w="761" w:type="pct"/>
                  <w:tcBorders>
                    <w:tl2br w:val="nil"/>
                    <w:tr2bl w:val="nil"/>
                  </w:tcBorders>
                  <w:shd w:val="clear" w:color="auto" w:fill="auto"/>
                  <w:vAlign w:val="center"/>
                </w:tcPr>
                <w:p w14:paraId="0379EA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625B2C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5262A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B4560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DD6D9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9D97A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1,1,1,2-</w:t>
                  </w:r>
                  <w:r>
                    <w:rPr>
                      <w:rStyle w:val="123"/>
                      <w:rFonts w:hint="eastAsia" w:ascii="仿宋" w:hAnsi="仿宋" w:eastAsia="仿宋" w:cs="仿宋"/>
                      <w:b w:val="0"/>
                      <w:bCs w:val="0"/>
                      <w:sz w:val="21"/>
                      <w:szCs w:val="21"/>
                      <w:lang w:val="en-US" w:eastAsia="zh-CN" w:bidi="ar"/>
                    </w:rPr>
                    <w:t>四氯乙烷</w:t>
                  </w:r>
                </w:p>
              </w:tc>
              <w:tc>
                <w:tcPr>
                  <w:tcW w:w="761" w:type="pct"/>
                  <w:tcBorders>
                    <w:tl2br w:val="nil"/>
                    <w:tr2bl w:val="nil"/>
                  </w:tcBorders>
                  <w:shd w:val="clear" w:color="auto" w:fill="auto"/>
                  <w:vAlign w:val="center"/>
                </w:tcPr>
                <w:p w14:paraId="420782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204F73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56F8FDD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5CCFBF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65BD13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8DA875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乙苯</w:t>
                  </w:r>
                </w:p>
              </w:tc>
              <w:tc>
                <w:tcPr>
                  <w:tcW w:w="761" w:type="pct"/>
                  <w:tcBorders>
                    <w:tl2br w:val="nil"/>
                    <w:tr2bl w:val="nil"/>
                  </w:tcBorders>
                  <w:shd w:val="clear" w:color="auto" w:fill="auto"/>
                  <w:vAlign w:val="center"/>
                </w:tcPr>
                <w:p w14:paraId="31A066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6CE09C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3C9D16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407968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E53D3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07AE28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间</w:t>
                  </w:r>
                  <w:r>
                    <w:rPr>
                      <w:rStyle w:val="119"/>
                      <w:rFonts w:hint="eastAsia" w:ascii="仿宋" w:hAnsi="仿宋" w:eastAsia="仿宋" w:cs="仿宋"/>
                      <w:b w:val="0"/>
                      <w:bCs w:val="0"/>
                      <w:sz w:val="21"/>
                      <w:szCs w:val="21"/>
                      <w:lang w:val="en-US" w:eastAsia="zh-CN" w:bidi="ar"/>
                    </w:rPr>
                    <w:t>+</w:t>
                  </w:r>
                  <w:r>
                    <w:rPr>
                      <w:rStyle w:val="123"/>
                      <w:rFonts w:hint="eastAsia" w:ascii="仿宋" w:hAnsi="仿宋" w:eastAsia="仿宋" w:cs="仿宋"/>
                      <w:b w:val="0"/>
                      <w:bCs w:val="0"/>
                      <w:sz w:val="21"/>
                      <w:szCs w:val="21"/>
                      <w:lang w:val="en-US" w:eastAsia="zh-CN" w:bidi="ar"/>
                    </w:rPr>
                    <w:t>对</w:t>
                  </w:r>
                  <w:r>
                    <w:rPr>
                      <w:rStyle w:val="119"/>
                      <w:rFonts w:hint="eastAsia" w:ascii="仿宋" w:hAnsi="仿宋" w:eastAsia="仿宋" w:cs="仿宋"/>
                      <w:b w:val="0"/>
                      <w:bCs w:val="0"/>
                      <w:sz w:val="21"/>
                      <w:szCs w:val="21"/>
                      <w:lang w:val="en-US" w:eastAsia="zh-CN" w:bidi="ar"/>
                    </w:rPr>
                    <w:t>-</w:t>
                  </w:r>
                  <w:r>
                    <w:rPr>
                      <w:rStyle w:val="123"/>
                      <w:rFonts w:hint="eastAsia" w:ascii="仿宋" w:hAnsi="仿宋" w:eastAsia="仿宋" w:cs="仿宋"/>
                      <w:b w:val="0"/>
                      <w:bCs w:val="0"/>
                      <w:sz w:val="21"/>
                      <w:szCs w:val="21"/>
                      <w:lang w:val="en-US" w:eastAsia="zh-CN" w:bidi="ar"/>
                    </w:rPr>
                    <w:t>二甲苯</w:t>
                  </w:r>
                </w:p>
              </w:tc>
              <w:tc>
                <w:tcPr>
                  <w:tcW w:w="761" w:type="pct"/>
                  <w:tcBorders>
                    <w:tl2br w:val="nil"/>
                    <w:tr2bl w:val="nil"/>
                  </w:tcBorders>
                  <w:shd w:val="clear" w:color="auto" w:fill="auto"/>
                  <w:vAlign w:val="center"/>
                </w:tcPr>
                <w:p w14:paraId="0160B3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7D39107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01E0A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94795F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16EC42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D283C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邻</w:t>
                  </w:r>
                  <w:r>
                    <w:rPr>
                      <w:rStyle w:val="119"/>
                      <w:rFonts w:hint="eastAsia" w:ascii="仿宋" w:hAnsi="仿宋" w:eastAsia="仿宋" w:cs="仿宋"/>
                      <w:b w:val="0"/>
                      <w:bCs w:val="0"/>
                      <w:sz w:val="21"/>
                      <w:szCs w:val="21"/>
                      <w:lang w:val="en-US" w:eastAsia="zh-CN" w:bidi="ar"/>
                    </w:rPr>
                    <w:t>-</w:t>
                  </w:r>
                  <w:r>
                    <w:rPr>
                      <w:rStyle w:val="123"/>
                      <w:rFonts w:hint="eastAsia" w:ascii="仿宋" w:hAnsi="仿宋" w:eastAsia="仿宋" w:cs="仿宋"/>
                      <w:b w:val="0"/>
                      <w:bCs w:val="0"/>
                      <w:sz w:val="21"/>
                      <w:szCs w:val="21"/>
                      <w:lang w:val="en-US" w:eastAsia="zh-CN" w:bidi="ar"/>
                    </w:rPr>
                    <w:t>二甲苯</w:t>
                  </w:r>
                </w:p>
              </w:tc>
              <w:tc>
                <w:tcPr>
                  <w:tcW w:w="761" w:type="pct"/>
                  <w:tcBorders>
                    <w:tl2br w:val="nil"/>
                    <w:tr2bl w:val="nil"/>
                  </w:tcBorders>
                  <w:shd w:val="clear" w:color="auto" w:fill="auto"/>
                  <w:vAlign w:val="center"/>
                </w:tcPr>
                <w:p w14:paraId="5EFD72F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68E2AD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21C61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EDE4A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62BFCA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6D925B2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苯乙烯</w:t>
                  </w:r>
                </w:p>
              </w:tc>
              <w:tc>
                <w:tcPr>
                  <w:tcW w:w="761" w:type="pct"/>
                  <w:tcBorders>
                    <w:tl2br w:val="nil"/>
                    <w:tr2bl w:val="nil"/>
                  </w:tcBorders>
                  <w:shd w:val="clear" w:color="auto" w:fill="auto"/>
                  <w:vAlign w:val="center"/>
                </w:tcPr>
                <w:p w14:paraId="19B1EE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42722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16B98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1F9F8C3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AB0E0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5C11A8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1,1,2,2-</w:t>
                  </w:r>
                  <w:r>
                    <w:rPr>
                      <w:rStyle w:val="123"/>
                      <w:rFonts w:hint="eastAsia" w:ascii="仿宋" w:hAnsi="仿宋" w:eastAsia="仿宋" w:cs="仿宋"/>
                      <w:b w:val="0"/>
                      <w:bCs w:val="0"/>
                      <w:sz w:val="21"/>
                      <w:szCs w:val="21"/>
                      <w:lang w:val="en-US" w:eastAsia="zh-CN" w:bidi="ar"/>
                    </w:rPr>
                    <w:t>四氯乙烷</w:t>
                  </w:r>
                </w:p>
              </w:tc>
              <w:tc>
                <w:tcPr>
                  <w:tcW w:w="761" w:type="pct"/>
                  <w:tcBorders>
                    <w:tl2br w:val="nil"/>
                    <w:tr2bl w:val="nil"/>
                  </w:tcBorders>
                  <w:shd w:val="clear" w:color="auto" w:fill="auto"/>
                  <w:vAlign w:val="center"/>
                </w:tcPr>
                <w:p w14:paraId="0B7E79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38DA05E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2A53E7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68978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95C43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06C6AB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1,2,3-</w:t>
                  </w:r>
                  <w:r>
                    <w:rPr>
                      <w:rStyle w:val="123"/>
                      <w:rFonts w:hint="eastAsia" w:ascii="仿宋" w:hAnsi="仿宋" w:eastAsia="仿宋" w:cs="仿宋"/>
                      <w:b w:val="0"/>
                      <w:bCs w:val="0"/>
                      <w:sz w:val="21"/>
                      <w:szCs w:val="21"/>
                      <w:lang w:val="en-US" w:eastAsia="zh-CN" w:bidi="ar"/>
                    </w:rPr>
                    <w:t>三氯丙烷</w:t>
                  </w:r>
                </w:p>
              </w:tc>
              <w:tc>
                <w:tcPr>
                  <w:tcW w:w="761" w:type="pct"/>
                  <w:tcBorders>
                    <w:tl2br w:val="nil"/>
                    <w:tr2bl w:val="nil"/>
                  </w:tcBorders>
                  <w:shd w:val="clear" w:color="auto" w:fill="auto"/>
                  <w:vAlign w:val="center"/>
                </w:tcPr>
                <w:p w14:paraId="0A10B0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7ACDB3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300F6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174AAD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2897B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5D7FB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w:t>
                  </w:r>
                  <w:r>
                    <w:rPr>
                      <w:rStyle w:val="123"/>
                      <w:rFonts w:hint="eastAsia" w:ascii="仿宋" w:hAnsi="仿宋" w:eastAsia="仿宋" w:cs="仿宋"/>
                      <w:b w:val="0"/>
                      <w:bCs w:val="0"/>
                      <w:sz w:val="21"/>
                      <w:szCs w:val="21"/>
                      <w:lang w:val="en-US" w:eastAsia="zh-CN" w:bidi="ar"/>
                    </w:rPr>
                    <w:t>二氯苯</w:t>
                  </w:r>
                </w:p>
              </w:tc>
              <w:tc>
                <w:tcPr>
                  <w:tcW w:w="761" w:type="pct"/>
                  <w:tcBorders>
                    <w:tl2br w:val="nil"/>
                    <w:tr2bl w:val="nil"/>
                  </w:tcBorders>
                  <w:shd w:val="clear" w:color="auto" w:fill="auto"/>
                  <w:vAlign w:val="center"/>
                </w:tcPr>
                <w:p w14:paraId="2C82DA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163C1C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5310F4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7BD0CE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A844F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55E518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r>
                    <w:rPr>
                      <w:rStyle w:val="123"/>
                      <w:rFonts w:hint="eastAsia" w:ascii="仿宋" w:hAnsi="仿宋" w:eastAsia="仿宋" w:cs="仿宋"/>
                      <w:b w:val="0"/>
                      <w:bCs w:val="0"/>
                      <w:sz w:val="21"/>
                      <w:szCs w:val="21"/>
                      <w:lang w:val="en-US" w:eastAsia="zh-CN" w:bidi="ar"/>
                    </w:rPr>
                    <w:t>二氯苯</w:t>
                  </w:r>
                </w:p>
              </w:tc>
              <w:tc>
                <w:tcPr>
                  <w:tcW w:w="761" w:type="pct"/>
                  <w:tcBorders>
                    <w:tl2br w:val="nil"/>
                    <w:tr2bl w:val="nil"/>
                  </w:tcBorders>
                  <w:shd w:val="clear" w:color="auto" w:fill="auto"/>
                  <w:vAlign w:val="center"/>
                </w:tcPr>
                <w:p w14:paraId="39DAC0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μg/kg</w:t>
                  </w:r>
                </w:p>
              </w:tc>
              <w:tc>
                <w:tcPr>
                  <w:tcW w:w="997" w:type="pct"/>
                  <w:tcBorders>
                    <w:tl2br w:val="nil"/>
                    <w:tr2bl w:val="nil"/>
                  </w:tcBorders>
                  <w:shd w:val="clear" w:color="auto" w:fill="auto"/>
                  <w:vAlign w:val="center"/>
                </w:tcPr>
                <w:p w14:paraId="5FB9515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09A2F0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336DAF6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AF1FA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11207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苯胺</w:t>
                  </w:r>
                </w:p>
              </w:tc>
              <w:tc>
                <w:tcPr>
                  <w:tcW w:w="761" w:type="pct"/>
                  <w:tcBorders>
                    <w:tl2br w:val="nil"/>
                    <w:tr2bl w:val="nil"/>
                  </w:tcBorders>
                  <w:shd w:val="clear" w:color="auto" w:fill="auto"/>
                  <w:vAlign w:val="center"/>
                </w:tcPr>
                <w:p w14:paraId="51F7C2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57EEED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4F927D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55D86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7C92C5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620AE7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r>
                    <w:rPr>
                      <w:rStyle w:val="123"/>
                      <w:rFonts w:hint="eastAsia" w:ascii="仿宋" w:hAnsi="仿宋" w:eastAsia="仿宋" w:cs="仿宋"/>
                      <w:b w:val="0"/>
                      <w:bCs w:val="0"/>
                      <w:sz w:val="21"/>
                      <w:szCs w:val="21"/>
                      <w:lang w:val="en-US" w:eastAsia="zh-CN" w:bidi="ar"/>
                    </w:rPr>
                    <w:t>氯苯酚</w:t>
                  </w:r>
                </w:p>
              </w:tc>
              <w:tc>
                <w:tcPr>
                  <w:tcW w:w="761" w:type="pct"/>
                  <w:tcBorders>
                    <w:tl2br w:val="nil"/>
                    <w:tr2bl w:val="nil"/>
                  </w:tcBorders>
                  <w:shd w:val="clear" w:color="auto" w:fill="auto"/>
                  <w:vAlign w:val="center"/>
                </w:tcPr>
                <w:p w14:paraId="0B6161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0AA5C4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6F3289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5851B6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99E3C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123E51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硝基苯</w:t>
                  </w:r>
                </w:p>
              </w:tc>
              <w:tc>
                <w:tcPr>
                  <w:tcW w:w="761" w:type="pct"/>
                  <w:tcBorders>
                    <w:tl2br w:val="nil"/>
                    <w:tr2bl w:val="nil"/>
                  </w:tcBorders>
                  <w:shd w:val="clear" w:color="auto" w:fill="auto"/>
                  <w:vAlign w:val="center"/>
                </w:tcPr>
                <w:p w14:paraId="094615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4705DE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359B5A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FD8D17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4030E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21F9E8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萘</w:t>
                  </w:r>
                </w:p>
              </w:tc>
              <w:tc>
                <w:tcPr>
                  <w:tcW w:w="761" w:type="pct"/>
                  <w:tcBorders>
                    <w:tl2br w:val="nil"/>
                    <w:tr2bl w:val="nil"/>
                  </w:tcBorders>
                  <w:shd w:val="clear" w:color="auto" w:fill="auto"/>
                  <w:vAlign w:val="center"/>
                </w:tcPr>
                <w:p w14:paraId="23D74F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27206B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2184A5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C4A48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5BF544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47F52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苯并</w:t>
                  </w:r>
                  <w:r>
                    <w:rPr>
                      <w:rStyle w:val="119"/>
                      <w:rFonts w:hint="eastAsia" w:ascii="仿宋" w:hAnsi="仿宋" w:eastAsia="仿宋" w:cs="仿宋"/>
                      <w:b w:val="0"/>
                      <w:bCs w:val="0"/>
                      <w:sz w:val="21"/>
                      <w:szCs w:val="21"/>
                      <w:lang w:val="en-US" w:eastAsia="zh-CN" w:bidi="ar"/>
                    </w:rPr>
                    <w:t>[a]</w:t>
                  </w:r>
                  <w:r>
                    <w:rPr>
                      <w:rStyle w:val="123"/>
                      <w:rFonts w:hint="eastAsia" w:ascii="仿宋" w:hAnsi="仿宋" w:eastAsia="仿宋" w:cs="仿宋"/>
                      <w:b w:val="0"/>
                      <w:bCs w:val="0"/>
                      <w:sz w:val="21"/>
                      <w:szCs w:val="21"/>
                      <w:lang w:val="en-US" w:eastAsia="zh-CN" w:bidi="ar"/>
                    </w:rPr>
                    <w:t>蒽</w:t>
                  </w:r>
                </w:p>
              </w:tc>
              <w:tc>
                <w:tcPr>
                  <w:tcW w:w="761" w:type="pct"/>
                  <w:tcBorders>
                    <w:tl2br w:val="nil"/>
                    <w:tr2bl w:val="nil"/>
                  </w:tcBorders>
                  <w:shd w:val="clear" w:color="auto" w:fill="auto"/>
                  <w:vAlign w:val="center"/>
                </w:tcPr>
                <w:p w14:paraId="0B5F3D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06BED9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27CB143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5D4798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32AEA2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7E1A23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䓛</w:t>
                  </w:r>
                </w:p>
              </w:tc>
              <w:tc>
                <w:tcPr>
                  <w:tcW w:w="761" w:type="pct"/>
                  <w:tcBorders>
                    <w:tl2br w:val="nil"/>
                    <w:tr2bl w:val="nil"/>
                  </w:tcBorders>
                  <w:shd w:val="clear" w:color="auto" w:fill="auto"/>
                  <w:vAlign w:val="center"/>
                </w:tcPr>
                <w:p w14:paraId="49A586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32690F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81CB7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65CE41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049648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0BCDE9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苯并</w:t>
                  </w:r>
                  <w:r>
                    <w:rPr>
                      <w:rStyle w:val="119"/>
                      <w:rFonts w:hint="eastAsia" w:ascii="仿宋" w:hAnsi="仿宋" w:eastAsia="仿宋" w:cs="仿宋"/>
                      <w:b w:val="0"/>
                      <w:bCs w:val="0"/>
                      <w:sz w:val="21"/>
                      <w:szCs w:val="21"/>
                      <w:lang w:val="en-US" w:eastAsia="zh-CN" w:bidi="ar"/>
                    </w:rPr>
                    <w:t>[b]</w:t>
                  </w:r>
                  <w:r>
                    <w:rPr>
                      <w:rStyle w:val="123"/>
                      <w:rFonts w:hint="eastAsia" w:ascii="仿宋" w:hAnsi="仿宋" w:eastAsia="仿宋" w:cs="仿宋"/>
                      <w:b w:val="0"/>
                      <w:bCs w:val="0"/>
                      <w:sz w:val="21"/>
                      <w:szCs w:val="21"/>
                      <w:lang w:val="en-US" w:eastAsia="zh-CN" w:bidi="ar"/>
                    </w:rPr>
                    <w:t>荧蒽</w:t>
                  </w:r>
                </w:p>
              </w:tc>
              <w:tc>
                <w:tcPr>
                  <w:tcW w:w="761" w:type="pct"/>
                  <w:tcBorders>
                    <w:tl2br w:val="nil"/>
                    <w:tr2bl w:val="nil"/>
                  </w:tcBorders>
                  <w:shd w:val="clear" w:color="auto" w:fill="auto"/>
                  <w:vAlign w:val="center"/>
                </w:tcPr>
                <w:p w14:paraId="0C95AF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4C42E5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C347A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3F5536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13EC0F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88BB0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苯并</w:t>
                  </w:r>
                  <w:r>
                    <w:rPr>
                      <w:rStyle w:val="119"/>
                      <w:rFonts w:hint="eastAsia" w:ascii="仿宋" w:hAnsi="仿宋" w:eastAsia="仿宋" w:cs="仿宋"/>
                      <w:b w:val="0"/>
                      <w:bCs w:val="0"/>
                      <w:sz w:val="21"/>
                      <w:szCs w:val="21"/>
                      <w:lang w:val="en-US" w:eastAsia="zh-CN" w:bidi="ar"/>
                    </w:rPr>
                    <w:t>[k]</w:t>
                  </w:r>
                  <w:r>
                    <w:rPr>
                      <w:rStyle w:val="123"/>
                      <w:rFonts w:hint="eastAsia" w:ascii="仿宋" w:hAnsi="仿宋" w:eastAsia="仿宋" w:cs="仿宋"/>
                      <w:b w:val="0"/>
                      <w:bCs w:val="0"/>
                      <w:sz w:val="21"/>
                      <w:szCs w:val="21"/>
                      <w:lang w:val="en-US" w:eastAsia="zh-CN" w:bidi="ar"/>
                    </w:rPr>
                    <w:t>荧蒽</w:t>
                  </w:r>
                </w:p>
              </w:tc>
              <w:tc>
                <w:tcPr>
                  <w:tcW w:w="761" w:type="pct"/>
                  <w:tcBorders>
                    <w:tl2br w:val="nil"/>
                    <w:tr2bl w:val="nil"/>
                  </w:tcBorders>
                  <w:shd w:val="clear" w:color="auto" w:fill="auto"/>
                  <w:vAlign w:val="center"/>
                </w:tcPr>
                <w:p w14:paraId="221CAC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607D9B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5B3291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0FE49A6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51AB5E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450D0D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苯并</w:t>
                  </w:r>
                  <w:r>
                    <w:rPr>
                      <w:rStyle w:val="119"/>
                      <w:rFonts w:hint="eastAsia" w:ascii="仿宋" w:hAnsi="仿宋" w:eastAsia="仿宋" w:cs="仿宋"/>
                      <w:b w:val="0"/>
                      <w:bCs w:val="0"/>
                      <w:sz w:val="21"/>
                      <w:szCs w:val="21"/>
                      <w:lang w:val="en-US" w:eastAsia="zh-CN" w:bidi="ar"/>
                    </w:rPr>
                    <w:t>[a]</w:t>
                  </w:r>
                  <w:r>
                    <w:rPr>
                      <w:rStyle w:val="123"/>
                      <w:rFonts w:hint="eastAsia" w:ascii="仿宋" w:hAnsi="仿宋" w:eastAsia="仿宋" w:cs="仿宋"/>
                      <w:b w:val="0"/>
                      <w:bCs w:val="0"/>
                      <w:sz w:val="21"/>
                      <w:szCs w:val="21"/>
                      <w:lang w:val="en-US" w:eastAsia="zh-CN" w:bidi="ar"/>
                    </w:rPr>
                    <w:t>芘</w:t>
                  </w:r>
                </w:p>
              </w:tc>
              <w:tc>
                <w:tcPr>
                  <w:tcW w:w="761" w:type="pct"/>
                  <w:tcBorders>
                    <w:tl2br w:val="nil"/>
                    <w:tr2bl w:val="nil"/>
                  </w:tcBorders>
                  <w:shd w:val="clear" w:color="auto" w:fill="auto"/>
                  <w:vAlign w:val="center"/>
                </w:tcPr>
                <w:p w14:paraId="7ABCAF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289C33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7CD65C0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7E0532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C4573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7BBD9A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茚并</w:t>
                  </w:r>
                  <w:r>
                    <w:rPr>
                      <w:rStyle w:val="119"/>
                      <w:rFonts w:hint="eastAsia" w:ascii="仿宋" w:hAnsi="仿宋" w:eastAsia="仿宋" w:cs="仿宋"/>
                      <w:b w:val="0"/>
                      <w:bCs w:val="0"/>
                      <w:sz w:val="21"/>
                      <w:szCs w:val="21"/>
                      <w:lang w:val="en-US" w:eastAsia="zh-CN" w:bidi="ar"/>
                    </w:rPr>
                    <w:t>[1,2,3-c,d]</w:t>
                  </w:r>
                  <w:r>
                    <w:rPr>
                      <w:rStyle w:val="123"/>
                      <w:rFonts w:hint="eastAsia" w:ascii="仿宋" w:hAnsi="仿宋" w:eastAsia="仿宋" w:cs="仿宋"/>
                      <w:b w:val="0"/>
                      <w:bCs w:val="0"/>
                      <w:sz w:val="21"/>
                      <w:szCs w:val="21"/>
                      <w:lang w:val="en-US" w:eastAsia="zh-CN" w:bidi="ar"/>
                    </w:rPr>
                    <w:t>芘</w:t>
                  </w:r>
                </w:p>
              </w:tc>
              <w:tc>
                <w:tcPr>
                  <w:tcW w:w="761" w:type="pct"/>
                  <w:tcBorders>
                    <w:tl2br w:val="nil"/>
                    <w:tr2bl w:val="nil"/>
                  </w:tcBorders>
                  <w:shd w:val="clear" w:color="auto" w:fill="auto"/>
                  <w:vAlign w:val="center"/>
                </w:tcPr>
                <w:p w14:paraId="4896276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4D41BE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6E96BE4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4F2C89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46FF19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873A7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二苯并</w:t>
                  </w:r>
                  <w:r>
                    <w:rPr>
                      <w:rStyle w:val="119"/>
                      <w:rFonts w:hint="eastAsia" w:ascii="仿宋" w:hAnsi="仿宋" w:eastAsia="仿宋" w:cs="仿宋"/>
                      <w:b w:val="0"/>
                      <w:bCs w:val="0"/>
                      <w:sz w:val="21"/>
                      <w:szCs w:val="21"/>
                      <w:lang w:val="en-US" w:eastAsia="zh-CN" w:bidi="ar"/>
                    </w:rPr>
                    <w:t>[a,h]</w:t>
                  </w:r>
                  <w:r>
                    <w:rPr>
                      <w:rStyle w:val="123"/>
                      <w:rFonts w:hint="eastAsia" w:ascii="仿宋" w:hAnsi="仿宋" w:eastAsia="仿宋" w:cs="仿宋"/>
                      <w:b w:val="0"/>
                      <w:bCs w:val="0"/>
                      <w:sz w:val="21"/>
                      <w:szCs w:val="21"/>
                      <w:lang w:val="en-US" w:eastAsia="zh-CN" w:bidi="ar"/>
                    </w:rPr>
                    <w:t>蒽</w:t>
                  </w:r>
                </w:p>
              </w:tc>
              <w:tc>
                <w:tcPr>
                  <w:tcW w:w="761" w:type="pct"/>
                  <w:tcBorders>
                    <w:tl2br w:val="nil"/>
                    <w:tr2bl w:val="nil"/>
                  </w:tcBorders>
                  <w:shd w:val="clear" w:color="auto" w:fill="auto"/>
                  <w:vAlign w:val="center"/>
                </w:tcPr>
                <w:p w14:paraId="3E4215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1E9CAA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997" w:type="pct"/>
                  <w:tcBorders>
                    <w:tl2br w:val="nil"/>
                    <w:tr2bl w:val="nil"/>
                  </w:tcBorders>
                  <w:shd w:val="clear" w:color="auto" w:fill="auto"/>
                  <w:vAlign w:val="center"/>
                </w:tcPr>
                <w:p w14:paraId="14E4F8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c>
                <w:tcPr>
                  <w:tcW w:w="1005" w:type="pct"/>
                  <w:tcBorders>
                    <w:tl2br w:val="nil"/>
                    <w:tr2bl w:val="nil"/>
                  </w:tcBorders>
                  <w:shd w:val="clear" w:color="auto" w:fill="auto"/>
                  <w:vAlign w:val="center"/>
                </w:tcPr>
                <w:p w14:paraId="2C32E95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ND</w:t>
                  </w:r>
                </w:p>
              </w:tc>
            </w:tr>
            <w:tr w14:paraId="658DE7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43DF16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铅</w:t>
                  </w:r>
                </w:p>
              </w:tc>
              <w:tc>
                <w:tcPr>
                  <w:tcW w:w="761" w:type="pct"/>
                  <w:tcBorders>
                    <w:tl2br w:val="nil"/>
                    <w:tr2bl w:val="nil"/>
                  </w:tcBorders>
                  <w:shd w:val="clear" w:color="auto" w:fill="auto"/>
                  <w:vAlign w:val="center"/>
                </w:tcPr>
                <w:p w14:paraId="7790AF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57EAD54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20.7</w:t>
                  </w:r>
                </w:p>
              </w:tc>
              <w:tc>
                <w:tcPr>
                  <w:tcW w:w="997" w:type="pct"/>
                  <w:tcBorders>
                    <w:tl2br w:val="nil"/>
                    <w:tr2bl w:val="nil"/>
                  </w:tcBorders>
                  <w:shd w:val="clear" w:color="auto" w:fill="auto"/>
                  <w:vAlign w:val="center"/>
                </w:tcPr>
                <w:p w14:paraId="6DB9BF0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24.7</w:t>
                  </w:r>
                </w:p>
              </w:tc>
              <w:tc>
                <w:tcPr>
                  <w:tcW w:w="1005" w:type="pct"/>
                  <w:tcBorders>
                    <w:tl2br w:val="nil"/>
                    <w:tr2bl w:val="nil"/>
                  </w:tcBorders>
                  <w:shd w:val="clear" w:color="auto" w:fill="auto"/>
                  <w:vAlign w:val="center"/>
                </w:tcPr>
                <w:p w14:paraId="48DF888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24.1</w:t>
                  </w:r>
                </w:p>
              </w:tc>
            </w:tr>
            <w:tr w14:paraId="1553AD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384205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砷</w:t>
                  </w:r>
                </w:p>
              </w:tc>
              <w:tc>
                <w:tcPr>
                  <w:tcW w:w="761" w:type="pct"/>
                  <w:tcBorders>
                    <w:tl2br w:val="nil"/>
                    <w:tr2bl w:val="nil"/>
                  </w:tcBorders>
                  <w:shd w:val="clear" w:color="auto" w:fill="auto"/>
                  <w:vAlign w:val="center"/>
                </w:tcPr>
                <w:p w14:paraId="3A1BFB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6DE28E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15.3</w:t>
                  </w:r>
                </w:p>
              </w:tc>
              <w:tc>
                <w:tcPr>
                  <w:tcW w:w="997" w:type="pct"/>
                  <w:tcBorders>
                    <w:tl2br w:val="nil"/>
                    <w:tr2bl w:val="nil"/>
                  </w:tcBorders>
                  <w:shd w:val="clear" w:color="auto" w:fill="auto"/>
                  <w:vAlign w:val="center"/>
                </w:tcPr>
                <w:p w14:paraId="036D58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5.78</w:t>
                  </w:r>
                </w:p>
              </w:tc>
              <w:tc>
                <w:tcPr>
                  <w:tcW w:w="1005" w:type="pct"/>
                  <w:tcBorders>
                    <w:tl2br w:val="nil"/>
                    <w:tr2bl w:val="nil"/>
                  </w:tcBorders>
                  <w:shd w:val="clear" w:color="auto" w:fill="auto"/>
                  <w:vAlign w:val="center"/>
                </w:tcPr>
                <w:p w14:paraId="2F5B78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7.24</w:t>
                  </w:r>
                </w:p>
              </w:tc>
            </w:tr>
            <w:tr w14:paraId="1B82AE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1237" w:type="pct"/>
                  <w:tcBorders>
                    <w:tl2br w:val="nil"/>
                    <w:tr2bl w:val="nil"/>
                  </w:tcBorders>
                  <w:shd w:val="clear" w:color="auto" w:fill="auto"/>
                  <w:vAlign w:val="center"/>
                </w:tcPr>
                <w:p w14:paraId="0EB9CF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镉</w:t>
                  </w:r>
                </w:p>
              </w:tc>
              <w:tc>
                <w:tcPr>
                  <w:tcW w:w="761" w:type="pct"/>
                  <w:tcBorders>
                    <w:tl2br w:val="nil"/>
                    <w:tr2bl w:val="nil"/>
                  </w:tcBorders>
                  <w:shd w:val="clear" w:color="auto" w:fill="auto"/>
                  <w:vAlign w:val="center"/>
                </w:tcPr>
                <w:p w14:paraId="39ED95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mg/kg</w:t>
                  </w:r>
                </w:p>
              </w:tc>
              <w:tc>
                <w:tcPr>
                  <w:tcW w:w="997" w:type="pct"/>
                  <w:tcBorders>
                    <w:tl2br w:val="nil"/>
                    <w:tr2bl w:val="nil"/>
                  </w:tcBorders>
                  <w:shd w:val="clear" w:color="auto" w:fill="auto"/>
                  <w:vAlign w:val="center"/>
                </w:tcPr>
                <w:p w14:paraId="76C165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0.09</w:t>
                  </w:r>
                </w:p>
              </w:tc>
              <w:tc>
                <w:tcPr>
                  <w:tcW w:w="997" w:type="pct"/>
                  <w:tcBorders>
                    <w:tl2br w:val="nil"/>
                    <w:tr2bl w:val="nil"/>
                  </w:tcBorders>
                  <w:shd w:val="clear" w:color="auto" w:fill="auto"/>
                  <w:vAlign w:val="center"/>
                </w:tcPr>
                <w:p w14:paraId="188EEF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0.16</w:t>
                  </w:r>
                </w:p>
              </w:tc>
              <w:tc>
                <w:tcPr>
                  <w:tcW w:w="1005" w:type="pct"/>
                  <w:tcBorders>
                    <w:tl2br w:val="nil"/>
                    <w:tr2bl w:val="nil"/>
                  </w:tcBorders>
                  <w:shd w:val="clear" w:color="auto" w:fill="auto"/>
                  <w:vAlign w:val="center"/>
                </w:tcPr>
                <w:p w14:paraId="2F2AAD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0.13</w:t>
                  </w:r>
                </w:p>
              </w:tc>
            </w:tr>
            <w:tr w14:paraId="712D1F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trPr>
              <w:tc>
                <w:tcPr>
                  <w:tcW w:w="5000" w:type="pct"/>
                  <w:gridSpan w:val="5"/>
                  <w:tcBorders>
                    <w:tl2br w:val="nil"/>
                    <w:tr2bl w:val="nil"/>
                  </w:tcBorders>
                  <w:shd w:val="clear" w:color="auto" w:fill="auto"/>
                  <w:vAlign w:val="center"/>
                </w:tcPr>
                <w:p w14:paraId="5DD92E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备注：</w:t>
                  </w:r>
                  <w:r>
                    <w:rPr>
                      <w:rStyle w:val="119"/>
                      <w:rFonts w:hint="eastAsia" w:ascii="仿宋" w:hAnsi="仿宋" w:eastAsia="仿宋" w:cs="仿宋"/>
                      <w:b w:val="0"/>
                      <w:bCs w:val="0"/>
                      <w:sz w:val="21"/>
                      <w:szCs w:val="21"/>
                      <w:lang w:val="en-US" w:eastAsia="zh-CN" w:bidi="ar"/>
                    </w:rPr>
                    <w:t>“ND”</w:t>
                  </w:r>
                  <w:r>
                    <w:rPr>
                      <w:rStyle w:val="123"/>
                      <w:rFonts w:hint="eastAsia" w:ascii="仿宋" w:hAnsi="仿宋" w:eastAsia="仿宋" w:cs="仿宋"/>
                      <w:b w:val="0"/>
                      <w:bCs w:val="0"/>
                      <w:sz w:val="21"/>
                      <w:szCs w:val="21"/>
                      <w:lang w:val="en-US" w:eastAsia="zh-CN" w:bidi="ar"/>
                    </w:rPr>
                    <w:t>表示低于检出限</w:t>
                  </w:r>
                </w:p>
              </w:tc>
            </w:tr>
          </w:tbl>
          <w:p w14:paraId="7E08B43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rPr>
            </w:pPr>
            <w:r>
              <w:rPr>
                <w:rFonts w:hint="eastAsia" w:ascii="仿宋" w:hAnsi="仿宋" w:eastAsia="仿宋" w:cs="仿宋"/>
                <w:color w:val="auto"/>
                <w:sz w:val="24"/>
                <w:szCs w:val="24"/>
                <w:lang w:val="en-US" w:eastAsia="zh-CN"/>
              </w:rPr>
              <w:t>根据检测结果可知，项目区土壤环境质量满足《土壤环境质量 建设用地土壤污染风险管控标准（试行）》（GB36600-2018）中第二类用地筛选值限值要求。</w:t>
            </w:r>
          </w:p>
        </w:tc>
      </w:tr>
      <w:tr w14:paraId="5E5EE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17" w:type="dxa"/>
            <w:vAlign w:val="center"/>
          </w:tcPr>
          <w:p w14:paraId="4542A199">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环境保护目标</w:t>
            </w:r>
          </w:p>
        </w:tc>
        <w:tc>
          <w:tcPr>
            <w:tcW w:w="8473" w:type="dxa"/>
            <w:vAlign w:val="top"/>
          </w:tcPr>
          <w:p w14:paraId="1FAA69E2">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本项目位于</w:t>
            </w:r>
            <w:r>
              <w:rPr>
                <w:rFonts w:hint="eastAsia" w:ascii="仿宋" w:hAnsi="仿宋" w:eastAsia="仿宋" w:cs="仿宋"/>
                <w:color w:val="auto"/>
                <w:sz w:val="24"/>
                <w:szCs w:val="24"/>
                <w:lang w:val="en-US" w:eastAsia="zh-CN"/>
              </w:rPr>
              <w:t>安徽省淮南市大通区上窑镇206国道北侧上窑工业集聚区内</w:t>
            </w:r>
            <w:r>
              <w:rPr>
                <w:rFonts w:hint="eastAsia" w:ascii="仿宋" w:hAnsi="仿宋" w:eastAsia="仿宋" w:cs="仿宋"/>
                <w:color w:val="auto"/>
                <w:kern w:val="0"/>
                <w:sz w:val="24"/>
              </w:rPr>
              <w:t>，项目评价范围内没有其它自然保护区、风景旅游点和文物古迹等需要特殊保护的环境敏感对象。总体上不因本项目的实施而改变区域环境现有功能。</w:t>
            </w:r>
          </w:p>
          <w:p w14:paraId="03E3534D">
            <w:pPr>
              <w:keepNext w:val="0"/>
              <w:keepLines w:val="0"/>
              <w:pageBreakBefore w:val="0"/>
              <w:widowControl/>
              <w:kinsoku/>
              <w:wordWrap/>
              <w:overflowPunct/>
              <w:topLinePunct w:val="0"/>
              <w:bidi w:val="0"/>
              <w:snapToGrid/>
              <w:spacing w:line="360" w:lineRule="auto"/>
              <w:ind w:firstLine="482" w:firstLineChars="200"/>
              <w:jc w:val="left"/>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（1）大气环境：</w:t>
            </w:r>
            <w:r>
              <w:rPr>
                <w:rFonts w:hint="eastAsia" w:ascii="仿宋" w:hAnsi="仿宋" w:eastAsia="仿宋" w:cs="仿宋"/>
                <w:color w:val="auto"/>
                <w:sz w:val="24"/>
                <w:szCs w:val="24"/>
                <w:lang w:val="en-US" w:eastAsia="zh-CN"/>
              </w:rPr>
              <w:t>距离本项目南侧约364m为一片烂尾楼，无人居住</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szCs w:val="24"/>
                <w:lang w:val="en-US" w:eastAsia="zh-CN"/>
              </w:rPr>
              <w:t>故不作为大气保护目标</w:t>
            </w:r>
            <w:r>
              <w:rPr>
                <w:rFonts w:hint="eastAsia" w:ascii="仿宋" w:hAnsi="仿宋" w:eastAsia="仿宋" w:cs="仿宋"/>
                <w:color w:val="auto"/>
                <w:kern w:val="0"/>
                <w:sz w:val="24"/>
              </w:rPr>
              <w:t>。</w:t>
            </w:r>
          </w:p>
          <w:p w14:paraId="5852299B">
            <w:pPr>
              <w:keepNext w:val="0"/>
              <w:keepLines w:val="0"/>
              <w:pageBreakBefore w:val="0"/>
              <w:widowControl/>
              <w:kinsoku/>
              <w:wordWrap/>
              <w:overflowPunct/>
              <w:topLinePunct w:val="0"/>
              <w:bidi w:val="0"/>
              <w:snapToGrid/>
              <w:spacing w:line="360" w:lineRule="auto"/>
              <w:ind w:firstLine="482" w:firstLineChars="200"/>
              <w:jc w:val="left"/>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（2）声环境：</w:t>
            </w:r>
            <w:r>
              <w:rPr>
                <w:rFonts w:hint="eastAsia" w:ascii="仿宋" w:hAnsi="仿宋" w:eastAsia="仿宋" w:cs="仿宋"/>
                <w:color w:val="auto"/>
                <w:kern w:val="0"/>
                <w:sz w:val="24"/>
              </w:rPr>
              <w:t>本项目厂界外50米范围内无声环境保护目标。</w:t>
            </w:r>
          </w:p>
          <w:p w14:paraId="2C73D861">
            <w:pPr>
              <w:keepNext w:val="0"/>
              <w:keepLines w:val="0"/>
              <w:pageBreakBefore w:val="0"/>
              <w:widowControl/>
              <w:kinsoku/>
              <w:wordWrap/>
              <w:overflowPunct/>
              <w:topLinePunct w:val="0"/>
              <w:bidi w:val="0"/>
              <w:snapToGrid/>
              <w:spacing w:line="360" w:lineRule="auto"/>
              <w:ind w:firstLine="482" w:firstLineChars="200"/>
              <w:jc w:val="left"/>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（3）地下水环境：</w:t>
            </w:r>
            <w:r>
              <w:rPr>
                <w:rFonts w:hint="eastAsia" w:ascii="仿宋" w:hAnsi="仿宋" w:eastAsia="仿宋" w:cs="仿宋"/>
                <w:color w:val="auto"/>
                <w:kern w:val="0"/>
                <w:sz w:val="24"/>
              </w:rPr>
              <w:t>本项目厂界外500米范围内无地下水集中式饮用水水源和热水、矿泉水、温泉等特殊地下水资源。</w:t>
            </w:r>
          </w:p>
          <w:p w14:paraId="73EB8EBE">
            <w:pPr>
              <w:pStyle w:val="40"/>
              <w:keepNext w:val="0"/>
              <w:keepLines w:val="0"/>
              <w:pageBreakBefore w:val="0"/>
              <w:kinsoku/>
              <w:wordWrap/>
              <w:overflowPunct/>
              <w:topLinePunct w:val="0"/>
              <w:bidi w:val="0"/>
              <w:snapToGrid/>
              <w:spacing w:line="360" w:lineRule="auto"/>
              <w:ind w:firstLine="482" w:firstLineChars="200"/>
              <w:textAlignment w:val="auto"/>
              <w:rPr>
                <w:rFonts w:hint="eastAsia"/>
              </w:rPr>
            </w:pPr>
            <w:r>
              <w:rPr>
                <w:rFonts w:hint="eastAsia" w:ascii="仿宋" w:hAnsi="仿宋" w:eastAsia="仿宋" w:cs="仿宋"/>
                <w:b/>
                <w:bCs/>
                <w:color w:val="auto"/>
                <w:kern w:val="0"/>
                <w:sz w:val="24"/>
              </w:rPr>
              <w:t>（4）生态环境：</w:t>
            </w:r>
            <w:r>
              <w:rPr>
                <w:rFonts w:hint="eastAsia" w:ascii="仿宋" w:hAnsi="仿宋" w:eastAsia="仿宋" w:cs="仿宋"/>
                <w:b w:val="0"/>
                <w:color w:val="auto"/>
                <w:kern w:val="2"/>
                <w:sz w:val="24"/>
                <w:szCs w:val="24"/>
                <w:lang w:val="en-US" w:eastAsia="zh-CN" w:bidi="ar-SA"/>
              </w:rPr>
              <w:t>项目位于淮南市大通区工业园区，不涉及生态管控空间及生态红线</w:t>
            </w:r>
            <w:r>
              <w:rPr>
                <w:rFonts w:hint="eastAsia" w:ascii="仿宋" w:hAnsi="仿宋" w:eastAsia="仿宋" w:cs="仿宋"/>
                <w:color w:val="auto"/>
                <w:kern w:val="0"/>
                <w:sz w:val="24"/>
              </w:rPr>
              <w:t>。</w:t>
            </w:r>
          </w:p>
          <w:p w14:paraId="605D07B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eastAsia="宋体"/>
                <w:lang w:eastAsia="zh-CN"/>
              </w:rPr>
              <w:drawing>
                <wp:inline distT="0" distB="0" distL="114300" distR="114300">
                  <wp:extent cx="5236845" cy="3604260"/>
                  <wp:effectExtent l="0" t="0" r="1905" b="15240"/>
                  <wp:docPr id="4" name="图片 4" descr="173683964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6839645026"/>
                          <pic:cNvPicPr>
                            <a:picLocks noChangeAspect="1"/>
                          </pic:cNvPicPr>
                        </pic:nvPicPr>
                        <pic:blipFill>
                          <a:blip r:embed="rId11"/>
                          <a:stretch>
                            <a:fillRect/>
                          </a:stretch>
                        </pic:blipFill>
                        <pic:spPr>
                          <a:xfrm>
                            <a:off x="0" y="0"/>
                            <a:ext cx="5236845" cy="3604260"/>
                          </a:xfrm>
                          <a:prstGeom prst="rect">
                            <a:avLst/>
                          </a:prstGeom>
                        </pic:spPr>
                      </pic:pic>
                    </a:graphicData>
                  </a:graphic>
                </wp:inline>
              </w:drawing>
            </w:r>
          </w:p>
          <w:p w14:paraId="41974539">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仿宋" w:hAnsi="仿宋" w:eastAsia="仿宋" w:cs="仿宋"/>
                <w:b/>
                <w:bCs/>
                <w:snapToGrid w:val="0"/>
                <w:color w:val="auto"/>
                <w:kern w:val="0"/>
                <w:sz w:val="21"/>
                <w:szCs w:val="21"/>
                <w:highlight w:val="none"/>
                <w:lang w:val="en-US" w:eastAsia="zh-CN"/>
              </w:rPr>
            </w:pPr>
            <w:r>
              <w:rPr>
                <w:rFonts w:hint="eastAsia" w:ascii="仿宋" w:hAnsi="仿宋" w:eastAsia="仿宋" w:cs="仿宋"/>
                <w:b/>
                <w:bCs/>
                <w:snapToGrid w:val="0"/>
                <w:color w:val="auto"/>
                <w:kern w:val="0"/>
                <w:sz w:val="21"/>
                <w:szCs w:val="21"/>
                <w:highlight w:val="none"/>
                <w:lang w:val="en-US" w:eastAsia="zh-CN"/>
              </w:rPr>
              <w:t>图3-2 环境保护目标分布图</w:t>
            </w:r>
          </w:p>
          <w:p w14:paraId="69140D0C">
            <w:pPr>
              <w:jc w:val="center"/>
              <w:rPr>
                <w:rFonts w:hint="default"/>
                <w:lang w:val="en-US"/>
              </w:rPr>
            </w:pPr>
            <w:r>
              <w:rPr>
                <w:rFonts w:hint="default"/>
                <w:lang w:val="en-US"/>
              </w:rPr>
              <w:drawing>
                <wp:inline distT="0" distB="0" distL="114300" distR="114300">
                  <wp:extent cx="5161915" cy="3869690"/>
                  <wp:effectExtent l="9525" t="9525" r="10160" b="26035"/>
                  <wp:docPr id="21" name="图片 21" descr="45f88c63064badf1789348b9da3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f88c63064badf1789348b9da34958"/>
                          <pic:cNvPicPr>
                            <a:picLocks noChangeAspect="1"/>
                          </pic:cNvPicPr>
                        </pic:nvPicPr>
                        <pic:blipFill>
                          <a:blip r:embed="rId12"/>
                          <a:stretch>
                            <a:fillRect/>
                          </a:stretch>
                        </pic:blipFill>
                        <pic:spPr>
                          <a:xfrm>
                            <a:off x="0" y="0"/>
                            <a:ext cx="5161915" cy="3869690"/>
                          </a:xfrm>
                          <a:prstGeom prst="rect">
                            <a:avLst/>
                          </a:prstGeom>
                          <a:ln>
                            <a:solidFill>
                              <a:schemeClr val="tx1"/>
                            </a:solidFill>
                          </a:ln>
                        </pic:spPr>
                      </pic:pic>
                    </a:graphicData>
                  </a:graphic>
                </wp:inline>
              </w:drawing>
            </w:r>
          </w:p>
          <w:p w14:paraId="4224BE59">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snapToGrid w:val="0"/>
                <w:color w:val="auto"/>
                <w:kern w:val="0"/>
                <w:sz w:val="21"/>
                <w:szCs w:val="21"/>
                <w:highlight w:val="none"/>
                <w:lang w:val="en-US" w:eastAsia="zh-CN"/>
              </w:rPr>
              <w:t>图3-3 项目区南侧烂尾楼</w:t>
            </w:r>
          </w:p>
        </w:tc>
      </w:tr>
      <w:tr w14:paraId="6FC17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8" w:hRule="atLeast"/>
          <w:jc w:val="center"/>
        </w:trPr>
        <w:tc>
          <w:tcPr>
            <w:tcW w:w="517" w:type="dxa"/>
            <w:tcMar>
              <w:left w:w="28" w:type="dxa"/>
              <w:right w:w="28" w:type="dxa"/>
            </w:tcMar>
            <w:vAlign w:val="center"/>
          </w:tcPr>
          <w:p w14:paraId="4ACF1683">
            <w:pPr>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 w:val="24"/>
                <w:szCs w:val="24"/>
              </w:rPr>
              <w:t>污染物排放控制标准</w:t>
            </w:r>
          </w:p>
        </w:tc>
        <w:tc>
          <w:tcPr>
            <w:tcW w:w="8473" w:type="dxa"/>
            <w:vAlign w:val="center"/>
          </w:tcPr>
          <w:p w14:paraId="0A62F92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bCs/>
                <w:color w:val="auto"/>
                <w:sz w:val="24"/>
                <w:szCs w:val="24"/>
                <w:lang w:val="en-US" w:eastAsia="zh-CN"/>
              </w:rPr>
              <w:t>1、</w:t>
            </w:r>
            <w:r>
              <w:rPr>
                <w:rFonts w:hint="eastAsia" w:ascii="仿宋" w:hAnsi="仿宋" w:eastAsia="仿宋" w:cs="仿宋"/>
                <w:b/>
                <w:bCs/>
                <w:color w:val="auto"/>
                <w:sz w:val="24"/>
                <w:szCs w:val="24"/>
              </w:rPr>
              <w:t>废气</w:t>
            </w:r>
            <w:r>
              <w:rPr>
                <w:rFonts w:hint="eastAsia" w:ascii="仿宋" w:hAnsi="仿宋" w:eastAsia="仿宋" w:cs="仿宋"/>
                <w:b/>
                <w:bCs/>
                <w:color w:val="auto"/>
                <w:sz w:val="24"/>
                <w:szCs w:val="24"/>
                <w:lang w:eastAsia="zh-CN"/>
              </w:rPr>
              <w:t>：</w:t>
            </w:r>
            <w:r>
              <w:rPr>
                <w:rFonts w:hint="eastAsia" w:ascii="仿宋" w:hAnsi="仿宋" w:eastAsia="仿宋" w:cs="仿宋"/>
                <w:sz w:val="24"/>
                <w:szCs w:val="24"/>
              </w:rPr>
              <w:t>本项目工艺废气中涉及的氨、硫化氢、臭气浓度等恶臭污染物的排放执行《恶臭污染物排放标准》（GB14554-93）中的规定；颗粒物的排放执行《大气污染物综合排放标准》（GB  16297-1996）中的规定。</w:t>
            </w:r>
          </w:p>
          <w:p w14:paraId="54902B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napToGrid w:val="0"/>
                <w:color w:val="auto"/>
                <w:kern w:val="0"/>
                <w:sz w:val="21"/>
                <w:szCs w:val="21"/>
                <w:lang w:val="en-US" w:eastAsia="zh-CN"/>
              </w:rPr>
            </w:pPr>
            <w:r>
              <w:rPr>
                <w:rFonts w:hint="eastAsia" w:ascii="仿宋" w:hAnsi="仿宋" w:eastAsia="仿宋" w:cs="仿宋"/>
                <w:b/>
                <w:snapToGrid w:val="0"/>
                <w:color w:val="auto"/>
                <w:kern w:val="0"/>
                <w:sz w:val="21"/>
                <w:szCs w:val="21"/>
                <w:lang w:val="zh-CN" w:eastAsia="zh-CN"/>
              </w:rPr>
              <w:t>表</w:t>
            </w:r>
            <w:r>
              <w:rPr>
                <w:rFonts w:hint="eastAsia" w:ascii="仿宋" w:hAnsi="仿宋" w:eastAsia="仿宋" w:cs="仿宋"/>
                <w:b/>
                <w:snapToGrid w:val="0"/>
                <w:color w:val="auto"/>
                <w:kern w:val="0"/>
                <w:sz w:val="21"/>
                <w:szCs w:val="21"/>
                <w:lang w:val="en-US" w:eastAsia="zh-CN"/>
              </w:rPr>
              <w:t xml:space="preserve">3-12  </w:t>
            </w:r>
            <w:r>
              <w:rPr>
                <w:rFonts w:hint="eastAsia" w:ascii="仿宋" w:hAnsi="仿宋" w:eastAsia="仿宋" w:cs="仿宋"/>
                <w:b/>
                <w:snapToGrid w:val="0"/>
                <w:color w:val="auto"/>
                <w:kern w:val="0"/>
                <w:sz w:val="21"/>
                <w:szCs w:val="21"/>
                <w:lang w:val="zh-CN" w:eastAsia="zh-CN"/>
              </w:rPr>
              <w:t>《恶臭污染物排放标准》（GB14554-93）</w:t>
            </w:r>
          </w:p>
          <w:tbl>
            <w:tblPr>
              <w:tblStyle w:val="95"/>
              <w:tblW w:w="9440" w:type="dxa"/>
              <w:tblInd w:w="7"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2363"/>
              <w:gridCol w:w="2320"/>
              <w:gridCol w:w="2359"/>
            </w:tblGrid>
            <w:tr w14:paraId="628987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0" w:type="dxa"/>
                  <w:gridSpan w:val="2"/>
                  <w:tcBorders>
                    <w:tl2br w:val="nil"/>
                    <w:tr2bl w:val="nil"/>
                  </w:tcBorders>
                  <w:vAlign w:val="center"/>
                </w:tcPr>
                <w:p w14:paraId="2CEE6C78">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恶臭污染物厂界标准值</w:t>
                  </w:r>
                </w:p>
              </w:tc>
              <w:tc>
                <w:tcPr>
                  <w:tcW w:w="4679" w:type="dxa"/>
                  <w:gridSpan w:val="2"/>
                  <w:tcBorders>
                    <w:tl2br w:val="nil"/>
                    <w:tr2bl w:val="nil"/>
                  </w:tcBorders>
                  <w:vAlign w:val="center"/>
                </w:tcPr>
                <w:p w14:paraId="205E3324">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恶臭污染物排放标准值</w:t>
                  </w:r>
                </w:p>
              </w:tc>
            </w:tr>
            <w:tr w14:paraId="27A498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9" w:hRule="atLeast"/>
              </w:trPr>
              <w:tc>
                <w:tcPr>
                  <w:tcW w:w="1477" w:type="dxa"/>
                  <w:tcBorders>
                    <w:tl2br w:val="nil"/>
                    <w:tr2bl w:val="nil"/>
                  </w:tcBorders>
                  <w:vAlign w:val="center"/>
                </w:tcPr>
                <w:p w14:paraId="056AEF09">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b/>
                      <w:bCs/>
                      <w:spacing w:val="-2"/>
                      <w:sz w:val="21"/>
                      <w:szCs w:val="21"/>
                    </w:rPr>
                  </w:pPr>
                  <w:r>
                    <w:rPr>
                      <w:rFonts w:hint="eastAsia" w:ascii="仿宋" w:hAnsi="仿宋" w:eastAsia="仿宋" w:cs="仿宋"/>
                      <w:b/>
                      <w:bCs/>
                      <w:spacing w:val="-2"/>
                      <w:sz w:val="21"/>
                      <w:szCs w:val="21"/>
                    </w:rPr>
                    <w:t>项目</w:t>
                  </w:r>
                </w:p>
              </w:tc>
              <w:tc>
                <w:tcPr>
                  <w:tcW w:w="2363" w:type="dxa"/>
                  <w:tcBorders>
                    <w:tl2br w:val="nil"/>
                    <w:tr2bl w:val="nil"/>
                  </w:tcBorders>
                  <w:vAlign w:val="center"/>
                </w:tcPr>
                <w:p w14:paraId="596518CF">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b/>
                      <w:bCs/>
                      <w:spacing w:val="-2"/>
                      <w:sz w:val="21"/>
                      <w:szCs w:val="21"/>
                      <w:lang w:eastAsia="zh-CN"/>
                    </w:rPr>
                  </w:pPr>
                  <w:r>
                    <w:rPr>
                      <w:rFonts w:hint="eastAsia" w:ascii="仿宋" w:hAnsi="仿宋" w:eastAsia="仿宋" w:cs="仿宋"/>
                      <w:b/>
                      <w:bCs/>
                      <w:spacing w:val="-2"/>
                      <w:sz w:val="21"/>
                      <w:szCs w:val="21"/>
                    </w:rPr>
                    <w:t>二级标准 mg/</w:t>
                  </w:r>
                  <w:r>
                    <w:rPr>
                      <w:rFonts w:hint="eastAsia" w:ascii="仿宋" w:hAnsi="仿宋" w:eastAsia="仿宋" w:cs="仿宋"/>
                      <w:b/>
                      <w:bCs/>
                      <w:spacing w:val="-2"/>
                      <w:sz w:val="21"/>
                      <w:szCs w:val="21"/>
                      <w:lang w:eastAsia="zh-CN"/>
                    </w:rPr>
                    <w:t>m³</w:t>
                  </w:r>
                </w:p>
              </w:tc>
              <w:tc>
                <w:tcPr>
                  <w:tcW w:w="2320" w:type="dxa"/>
                  <w:tcBorders>
                    <w:tl2br w:val="nil"/>
                    <w:tr2bl w:val="nil"/>
                  </w:tcBorders>
                  <w:vAlign w:val="center"/>
                </w:tcPr>
                <w:p w14:paraId="44626D8F">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b/>
                      <w:bCs/>
                      <w:spacing w:val="-2"/>
                      <w:sz w:val="21"/>
                      <w:szCs w:val="21"/>
                    </w:rPr>
                  </w:pPr>
                  <w:r>
                    <w:rPr>
                      <w:rFonts w:hint="eastAsia" w:ascii="仿宋" w:hAnsi="仿宋" w:eastAsia="仿宋" w:cs="仿宋"/>
                      <w:b/>
                      <w:bCs/>
                      <w:spacing w:val="-2"/>
                      <w:sz w:val="21"/>
                      <w:szCs w:val="21"/>
                    </w:rPr>
                    <w:t>排气筒高度 ，m</w:t>
                  </w:r>
                </w:p>
              </w:tc>
              <w:tc>
                <w:tcPr>
                  <w:tcW w:w="2359" w:type="dxa"/>
                  <w:tcBorders>
                    <w:tl2br w:val="nil"/>
                    <w:tr2bl w:val="nil"/>
                  </w:tcBorders>
                  <w:vAlign w:val="center"/>
                </w:tcPr>
                <w:p w14:paraId="6C8282CC">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b/>
                      <w:bCs/>
                      <w:spacing w:val="-2"/>
                      <w:sz w:val="21"/>
                      <w:szCs w:val="21"/>
                    </w:rPr>
                  </w:pPr>
                  <w:r>
                    <w:rPr>
                      <w:rFonts w:hint="eastAsia" w:ascii="仿宋" w:hAnsi="仿宋" w:eastAsia="仿宋" w:cs="仿宋"/>
                      <w:b/>
                      <w:bCs/>
                      <w:spacing w:val="-2"/>
                      <w:sz w:val="21"/>
                      <w:szCs w:val="21"/>
                    </w:rPr>
                    <w:t>排放量，kg/h</w:t>
                  </w:r>
                </w:p>
              </w:tc>
            </w:tr>
            <w:tr w14:paraId="7BC09D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7" w:type="dxa"/>
                  <w:tcBorders>
                    <w:tl2br w:val="nil"/>
                    <w:tr2bl w:val="nil"/>
                  </w:tcBorders>
                  <w:vAlign w:val="center"/>
                </w:tcPr>
                <w:p w14:paraId="000B1745">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z w:val="21"/>
                      <w:szCs w:val="21"/>
                    </w:rPr>
                    <w:t>氨</w:t>
                  </w:r>
                </w:p>
              </w:tc>
              <w:tc>
                <w:tcPr>
                  <w:tcW w:w="2363" w:type="dxa"/>
                  <w:tcBorders>
                    <w:tl2br w:val="nil"/>
                    <w:tr2bl w:val="nil"/>
                  </w:tcBorders>
                  <w:vAlign w:val="center"/>
                </w:tcPr>
                <w:p w14:paraId="114A2C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1.5</w:t>
                  </w:r>
                </w:p>
              </w:tc>
              <w:tc>
                <w:tcPr>
                  <w:tcW w:w="2320" w:type="dxa"/>
                  <w:tcBorders>
                    <w:tl2br w:val="nil"/>
                    <w:tr2bl w:val="nil"/>
                  </w:tcBorders>
                  <w:vAlign w:val="center"/>
                </w:tcPr>
                <w:p w14:paraId="732F80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15</w:t>
                  </w:r>
                </w:p>
              </w:tc>
              <w:tc>
                <w:tcPr>
                  <w:tcW w:w="2359" w:type="dxa"/>
                  <w:tcBorders>
                    <w:tl2br w:val="nil"/>
                    <w:tr2bl w:val="nil"/>
                  </w:tcBorders>
                  <w:vAlign w:val="center"/>
                </w:tcPr>
                <w:p w14:paraId="293CF3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z w:val="21"/>
                      <w:szCs w:val="21"/>
                    </w:rPr>
                    <w:t>4.9</w:t>
                  </w:r>
                </w:p>
              </w:tc>
            </w:tr>
            <w:tr w14:paraId="725BA5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7" w:type="dxa"/>
                  <w:tcBorders>
                    <w:tl2br w:val="nil"/>
                    <w:tr2bl w:val="nil"/>
                  </w:tcBorders>
                  <w:vAlign w:val="center"/>
                </w:tcPr>
                <w:p w14:paraId="7EC22EBD">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硫化氢</w:t>
                  </w:r>
                </w:p>
              </w:tc>
              <w:tc>
                <w:tcPr>
                  <w:tcW w:w="2363" w:type="dxa"/>
                  <w:tcBorders>
                    <w:tl2br w:val="nil"/>
                    <w:tr2bl w:val="nil"/>
                  </w:tcBorders>
                  <w:vAlign w:val="center"/>
                </w:tcPr>
                <w:p w14:paraId="50FF79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0.06</w:t>
                  </w:r>
                </w:p>
              </w:tc>
              <w:tc>
                <w:tcPr>
                  <w:tcW w:w="2320" w:type="dxa"/>
                  <w:tcBorders>
                    <w:tl2br w:val="nil"/>
                    <w:tr2bl w:val="nil"/>
                  </w:tcBorders>
                  <w:vAlign w:val="center"/>
                </w:tcPr>
                <w:p w14:paraId="20E1A0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15</w:t>
                  </w:r>
                </w:p>
              </w:tc>
              <w:tc>
                <w:tcPr>
                  <w:tcW w:w="2359" w:type="dxa"/>
                  <w:tcBorders>
                    <w:tl2br w:val="nil"/>
                    <w:tr2bl w:val="nil"/>
                  </w:tcBorders>
                  <w:vAlign w:val="center"/>
                </w:tcPr>
                <w:p w14:paraId="5F8AA4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0.33</w:t>
                  </w:r>
                </w:p>
              </w:tc>
            </w:tr>
            <w:tr w14:paraId="42F6BE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7" w:type="dxa"/>
                  <w:tcBorders>
                    <w:tl2br w:val="nil"/>
                    <w:tr2bl w:val="nil"/>
                  </w:tcBorders>
                  <w:vAlign w:val="center"/>
                </w:tcPr>
                <w:p w14:paraId="74357272">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臭气浓度</w:t>
                  </w:r>
                </w:p>
              </w:tc>
              <w:tc>
                <w:tcPr>
                  <w:tcW w:w="2363" w:type="dxa"/>
                  <w:tcBorders>
                    <w:tl2br w:val="nil"/>
                    <w:tr2bl w:val="nil"/>
                  </w:tcBorders>
                  <w:vAlign w:val="center"/>
                </w:tcPr>
                <w:p w14:paraId="250748A8">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20（无量纲）</w:t>
                  </w:r>
                </w:p>
              </w:tc>
              <w:tc>
                <w:tcPr>
                  <w:tcW w:w="2320" w:type="dxa"/>
                  <w:tcBorders>
                    <w:tl2br w:val="nil"/>
                    <w:tr2bl w:val="nil"/>
                  </w:tcBorders>
                  <w:vAlign w:val="center"/>
                </w:tcPr>
                <w:p w14:paraId="165D85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15</w:t>
                  </w:r>
                </w:p>
              </w:tc>
              <w:tc>
                <w:tcPr>
                  <w:tcW w:w="2359" w:type="dxa"/>
                  <w:tcBorders>
                    <w:tl2br w:val="nil"/>
                    <w:tr2bl w:val="nil"/>
                  </w:tcBorders>
                  <w:vAlign w:val="center"/>
                </w:tcPr>
                <w:p w14:paraId="4A6863F1">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z w:val="21"/>
                      <w:szCs w:val="21"/>
                    </w:rPr>
                    <w:t>2000（无量纲）</w:t>
                  </w:r>
                </w:p>
              </w:tc>
            </w:tr>
          </w:tbl>
          <w:p w14:paraId="1CC0C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napToGrid w:val="0"/>
                <w:color w:val="auto"/>
                <w:kern w:val="0"/>
                <w:sz w:val="21"/>
                <w:szCs w:val="21"/>
                <w:lang w:val="zh-CN" w:eastAsia="zh-CN"/>
              </w:rPr>
            </w:pPr>
            <w:r>
              <w:rPr>
                <w:rFonts w:hint="eastAsia" w:ascii="仿宋" w:hAnsi="仿宋" w:eastAsia="仿宋" w:cs="仿宋"/>
                <w:b/>
                <w:snapToGrid w:val="0"/>
                <w:color w:val="auto"/>
                <w:kern w:val="0"/>
                <w:sz w:val="21"/>
                <w:szCs w:val="21"/>
                <w:lang w:val="zh-CN" w:eastAsia="zh-CN"/>
              </w:rPr>
              <w:t>表</w:t>
            </w:r>
            <w:r>
              <w:rPr>
                <w:rFonts w:hint="eastAsia" w:ascii="仿宋" w:hAnsi="仿宋" w:eastAsia="仿宋" w:cs="仿宋"/>
                <w:b/>
                <w:snapToGrid w:val="0"/>
                <w:color w:val="auto"/>
                <w:kern w:val="0"/>
                <w:sz w:val="21"/>
                <w:szCs w:val="21"/>
                <w:lang w:val="en-US" w:eastAsia="zh-CN"/>
              </w:rPr>
              <w:t xml:space="preserve">3-13  </w:t>
            </w:r>
            <w:r>
              <w:rPr>
                <w:rFonts w:hint="eastAsia" w:ascii="仿宋" w:hAnsi="仿宋" w:eastAsia="仿宋" w:cs="仿宋"/>
                <w:b/>
                <w:snapToGrid w:val="0"/>
                <w:color w:val="auto"/>
                <w:kern w:val="0"/>
                <w:sz w:val="21"/>
                <w:szCs w:val="21"/>
                <w:lang w:val="zh-CN" w:eastAsia="zh-CN"/>
              </w:rPr>
              <w:t>《恶臭污染物排放标准》（GB14554-93）</w:t>
            </w:r>
          </w:p>
          <w:tbl>
            <w:tblPr>
              <w:tblStyle w:val="95"/>
              <w:tblW w:w="8519" w:type="dxa"/>
              <w:tblInd w:w="7"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740"/>
              <w:gridCol w:w="1769"/>
              <w:gridCol w:w="604"/>
              <w:gridCol w:w="1736"/>
              <w:gridCol w:w="1505"/>
            </w:tblGrid>
            <w:tr w14:paraId="0564D1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65" w:type="dxa"/>
                  <w:vMerge w:val="restart"/>
                  <w:tcBorders>
                    <w:tl2br w:val="nil"/>
                    <w:tr2bl w:val="nil"/>
                  </w:tcBorders>
                  <w:vAlign w:val="center"/>
                </w:tcPr>
                <w:p w14:paraId="62001224">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3"/>
                      <w:sz w:val="21"/>
                      <w:szCs w:val="21"/>
                    </w:rPr>
                    <w:t>污染物</w:t>
                  </w:r>
                </w:p>
              </w:tc>
              <w:tc>
                <w:tcPr>
                  <w:tcW w:w="1740" w:type="dxa"/>
                  <w:vMerge w:val="restart"/>
                  <w:tcBorders>
                    <w:tl2br w:val="nil"/>
                    <w:tr2bl w:val="nil"/>
                  </w:tcBorders>
                  <w:vAlign w:val="center"/>
                </w:tcPr>
                <w:p w14:paraId="09D6F087">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最高允许排放浓度</w:t>
                  </w:r>
                </w:p>
                <w:p w14:paraId="69D3CD7C">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（mg/</w:t>
                  </w:r>
                  <w:r>
                    <w:rPr>
                      <w:rFonts w:hint="eastAsia" w:ascii="仿宋" w:hAnsi="仿宋" w:eastAsia="仿宋" w:cs="仿宋"/>
                      <w:b/>
                      <w:bCs/>
                      <w:spacing w:val="-2"/>
                      <w:sz w:val="21"/>
                      <w:szCs w:val="21"/>
                      <w:lang w:eastAsia="zh-CN"/>
                    </w:rPr>
                    <w:t>m³</w:t>
                  </w:r>
                  <w:r>
                    <w:rPr>
                      <w:rFonts w:hint="eastAsia" w:ascii="仿宋" w:hAnsi="仿宋" w:eastAsia="仿宋" w:cs="仿宋"/>
                      <w:b/>
                      <w:bCs/>
                      <w:spacing w:val="-2"/>
                      <w:sz w:val="21"/>
                      <w:szCs w:val="21"/>
                    </w:rPr>
                    <w:t>）</w:t>
                  </w:r>
                </w:p>
              </w:tc>
              <w:tc>
                <w:tcPr>
                  <w:tcW w:w="2373" w:type="dxa"/>
                  <w:gridSpan w:val="2"/>
                  <w:tcBorders>
                    <w:tl2br w:val="nil"/>
                    <w:tr2bl w:val="nil"/>
                  </w:tcBorders>
                  <w:vAlign w:val="center"/>
                </w:tcPr>
                <w:p w14:paraId="44325EAC">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最高允许排放速率</w:t>
                  </w:r>
                  <w:r>
                    <w:rPr>
                      <w:rFonts w:hint="eastAsia" w:ascii="仿宋" w:hAnsi="仿宋" w:eastAsia="仿宋" w:cs="仿宋"/>
                      <w:spacing w:val="-36"/>
                      <w:sz w:val="21"/>
                      <w:szCs w:val="21"/>
                    </w:rPr>
                    <w:t xml:space="preserve"> </w:t>
                  </w:r>
                  <w:r>
                    <w:rPr>
                      <w:rFonts w:hint="eastAsia" w:ascii="仿宋" w:hAnsi="仿宋" w:eastAsia="仿宋" w:cs="仿宋"/>
                      <w:b/>
                      <w:bCs/>
                      <w:spacing w:val="-2"/>
                      <w:sz w:val="21"/>
                      <w:szCs w:val="21"/>
                    </w:rPr>
                    <w:t>kg/h</w:t>
                  </w:r>
                </w:p>
              </w:tc>
              <w:tc>
                <w:tcPr>
                  <w:tcW w:w="3241" w:type="dxa"/>
                  <w:gridSpan w:val="2"/>
                  <w:tcBorders>
                    <w:tl2br w:val="nil"/>
                    <w:tr2bl w:val="nil"/>
                  </w:tcBorders>
                  <w:vAlign w:val="center"/>
                </w:tcPr>
                <w:p w14:paraId="74E9D525">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无组织排放监控浓度限值</w:t>
                  </w:r>
                </w:p>
              </w:tc>
            </w:tr>
            <w:tr w14:paraId="177542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4" w:hRule="atLeast"/>
              </w:trPr>
              <w:tc>
                <w:tcPr>
                  <w:tcW w:w="1165" w:type="dxa"/>
                  <w:vMerge w:val="continue"/>
                  <w:tcBorders>
                    <w:tl2br w:val="nil"/>
                    <w:tr2bl w:val="nil"/>
                  </w:tcBorders>
                  <w:vAlign w:val="center"/>
                </w:tcPr>
                <w:p w14:paraId="48C8EF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p>
              </w:tc>
              <w:tc>
                <w:tcPr>
                  <w:tcW w:w="1740" w:type="dxa"/>
                  <w:vMerge w:val="continue"/>
                  <w:tcBorders>
                    <w:tl2br w:val="nil"/>
                    <w:tr2bl w:val="nil"/>
                  </w:tcBorders>
                  <w:vAlign w:val="center"/>
                </w:tcPr>
                <w:p w14:paraId="268516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p>
              </w:tc>
              <w:tc>
                <w:tcPr>
                  <w:tcW w:w="1769" w:type="dxa"/>
                  <w:tcBorders>
                    <w:tl2br w:val="nil"/>
                    <w:tr2bl w:val="nil"/>
                  </w:tcBorders>
                  <w:vAlign w:val="center"/>
                </w:tcPr>
                <w:p w14:paraId="7F017B86">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1"/>
                      <w:sz w:val="21"/>
                      <w:szCs w:val="21"/>
                    </w:rPr>
                    <w:t>排气筒高度（m）</w:t>
                  </w:r>
                </w:p>
              </w:tc>
              <w:tc>
                <w:tcPr>
                  <w:tcW w:w="604" w:type="dxa"/>
                  <w:tcBorders>
                    <w:tl2br w:val="nil"/>
                    <w:tr2bl w:val="nil"/>
                  </w:tcBorders>
                  <w:vAlign w:val="center"/>
                </w:tcPr>
                <w:p w14:paraId="473C3C14">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rPr>
                    <w:t>二级</w:t>
                  </w:r>
                </w:p>
              </w:tc>
              <w:tc>
                <w:tcPr>
                  <w:tcW w:w="1736" w:type="dxa"/>
                  <w:tcBorders>
                    <w:tl2br w:val="nil"/>
                    <w:tr2bl w:val="nil"/>
                  </w:tcBorders>
                  <w:vAlign w:val="center"/>
                </w:tcPr>
                <w:p w14:paraId="028BF13D">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3"/>
                      <w:sz w:val="21"/>
                      <w:szCs w:val="21"/>
                    </w:rPr>
                    <w:t>监控点</w:t>
                  </w:r>
                </w:p>
              </w:tc>
              <w:tc>
                <w:tcPr>
                  <w:tcW w:w="1505" w:type="dxa"/>
                  <w:tcBorders>
                    <w:tl2br w:val="nil"/>
                    <w:tr2bl w:val="nil"/>
                  </w:tcBorders>
                  <w:vAlign w:val="center"/>
                </w:tcPr>
                <w:p w14:paraId="5893469D">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b/>
                      <w:bCs/>
                      <w:spacing w:val="-2"/>
                      <w:sz w:val="21"/>
                      <w:szCs w:val="21"/>
                    </w:rPr>
                    <w:t>浓度（mg/</w:t>
                  </w:r>
                  <w:r>
                    <w:rPr>
                      <w:rFonts w:hint="eastAsia" w:ascii="仿宋" w:hAnsi="仿宋" w:eastAsia="仿宋" w:cs="仿宋"/>
                      <w:b/>
                      <w:bCs/>
                      <w:spacing w:val="-2"/>
                      <w:sz w:val="21"/>
                      <w:szCs w:val="21"/>
                      <w:lang w:eastAsia="zh-CN"/>
                    </w:rPr>
                    <w:t>m³</w:t>
                  </w:r>
                  <w:r>
                    <w:rPr>
                      <w:rFonts w:hint="eastAsia" w:ascii="仿宋" w:hAnsi="仿宋" w:eastAsia="仿宋" w:cs="仿宋"/>
                      <w:b/>
                      <w:bCs/>
                      <w:spacing w:val="-2"/>
                      <w:sz w:val="21"/>
                      <w:szCs w:val="21"/>
                    </w:rPr>
                    <w:t>）</w:t>
                  </w:r>
                </w:p>
              </w:tc>
            </w:tr>
            <w:tr w14:paraId="2EEF57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65" w:type="dxa"/>
                  <w:tcBorders>
                    <w:tl2br w:val="nil"/>
                    <w:tr2bl w:val="nil"/>
                  </w:tcBorders>
                  <w:vAlign w:val="center"/>
                </w:tcPr>
                <w:p w14:paraId="3FC1C90A">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颗粒物</w:t>
                  </w:r>
                </w:p>
              </w:tc>
              <w:tc>
                <w:tcPr>
                  <w:tcW w:w="1740" w:type="dxa"/>
                  <w:tcBorders>
                    <w:tl2br w:val="nil"/>
                    <w:tr2bl w:val="nil"/>
                  </w:tcBorders>
                  <w:vAlign w:val="center"/>
                </w:tcPr>
                <w:p w14:paraId="13D1C5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120</w:t>
                  </w:r>
                </w:p>
              </w:tc>
              <w:tc>
                <w:tcPr>
                  <w:tcW w:w="1769" w:type="dxa"/>
                  <w:tcBorders>
                    <w:tl2br w:val="nil"/>
                    <w:tr2bl w:val="nil"/>
                  </w:tcBorders>
                  <w:vAlign w:val="center"/>
                </w:tcPr>
                <w:p w14:paraId="72A392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15</w:t>
                  </w:r>
                </w:p>
              </w:tc>
              <w:tc>
                <w:tcPr>
                  <w:tcW w:w="604" w:type="dxa"/>
                  <w:tcBorders>
                    <w:tl2br w:val="nil"/>
                    <w:tr2bl w:val="nil"/>
                  </w:tcBorders>
                  <w:vAlign w:val="center"/>
                </w:tcPr>
                <w:p w14:paraId="0C68DA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3.5</w:t>
                  </w:r>
                </w:p>
              </w:tc>
              <w:tc>
                <w:tcPr>
                  <w:tcW w:w="1736" w:type="dxa"/>
                  <w:tcBorders>
                    <w:tl2br w:val="nil"/>
                    <w:tr2bl w:val="nil"/>
                  </w:tcBorders>
                  <w:vAlign w:val="center"/>
                </w:tcPr>
                <w:p w14:paraId="434433BD">
                  <w:pPr>
                    <w:pStyle w:val="13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周界外浓度最高点</w:t>
                  </w:r>
                </w:p>
              </w:tc>
              <w:tc>
                <w:tcPr>
                  <w:tcW w:w="1505" w:type="dxa"/>
                  <w:tcBorders>
                    <w:tl2br w:val="nil"/>
                    <w:tr2bl w:val="nil"/>
                  </w:tcBorders>
                  <w:vAlign w:val="center"/>
                </w:tcPr>
                <w:p w14:paraId="14999F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1.0</w:t>
                  </w:r>
                </w:p>
              </w:tc>
            </w:tr>
          </w:tbl>
          <w:p w14:paraId="2BA8146C">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color w:val="auto"/>
                <w:sz w:val="24"/>
                <w:lang w:val="zh-TW" w:eastAsia="zh-TW"/>
              </w:rPr>
            </w:pPr>
            <w:r>
              <w:rPr>
                <w:rFonts w:hint="eastAsia" w:ascii="仿宋" w:hAnsi="仿宋" w:eastAsia="仿宋" w:cs="仿宋"/>
                <w:b/>
                <w:bCs/>
                <w:color w:val="auto"/>
                <w:sz w:val="24"/>
                <w:szCs w:val="24"/>
              </w:rPr>
              <w:t>2、废水</w:t>
            </w:r>
            <w:r>
              <w:rPr>
                <w:rFonts w:hint="eastAsia" w:ascii="仿宋" w:hAnsi="仿宋" w:eastAsia="仿宋" w:cs="仿宋"/>
                <w:b/>
                <w:bCs/>
                <w:color w:val="auto"/>
                <w:sz w:val="24"/>
                <w:szCs w:val="24"/>
                <w:lang w:eastAsia="zh-CN"/>
              </w:rPr>
              <w:t>：</w:t>
            </w:r>
            <w:r>
              <w:rPr>
                <w:rFonts w:hint="eastAsia" w:ascii="仿宋" w:hAnsi="仿宋" w:eastAsia="仿宋" w:cs="仿宋"/>
                <w:snapToGrid w:val="0"/>
                <w:color w:val="auto"/>
                <w:kern w:val="0"/>
                <w:sz w:val="24"/>
              </w:rPr>
              <w:t>营运期</w:t>
            </w:r>
            <w:r>
              <w:rPr>
                <w:rFonts w:hint="eastAsia" w:ascii="仿宋" w:hAnsi="仿宋" w:eastAsia="仿宋" w:cs="仿宋"/>
                <w:snapToGrid w:val="0"/>
                <w:color w:val="auto"/>
                <w:kern w:val="0"/>
                <w:sz w:val="24"/>
                <w:lang w:val="en-US" w:eastAsia="zh-CN"/>
              </w:rPr>
              <w:t>外排废水执行上窑工业聚集区污水处理厂</w:t>
            </w:r>
            <w:r>
              <w:rPr>
                <w:rFonts w:hint="eastAsia" w:ascii="仿宋" w:hAnsi="仿宋" w:eastAsia="仿宋" w:cs="仿宋"/>
                <w:snapToGrid w:val="0"/>
                <w:color w:val="auto"/>
                <w:kern w:val="0"/>
                <w:sz w:val="24"/>
              </w:rPr>
              <w:t>接管</w:t>
            </w:r>
            <w:r>
              <w:rPr>
                <w:rFonts w:hint="eastAsia" w:ascii="仿宋" w:hAnsi="仿宋" w:eastAsia="仿宋" w:cs="仿宋"/>
                <w:color w:val="auto"/>
                <w:sz w:val="24"/>
              </w:rPr>
              <w:t>标准</w:t>
            </w:r>
            <w:r>
              <w:rPr>
                <w:rFonts w:hint="eastAsia" w:ascii="仿宋" w:hAnsi="仿宋" w:eastAsia="仿宋" w:cs="仿宋"/>
                <w:color w:val="auto"/>
                <w:sz w:val="24"/>
                <w:lang w:val="en-US" w:eastAsia="zh-CN"/>
              </w:rPr>
              <w:t>要求</w:t>
            </w:r>
            <w:r>
              <w:rPr>
                <w:rFonts w:hint="eastAsia" w:ascii="仿宋" w:hAnsi="仿宋" w:eastAsia="仿宋" w:cs="仿宋"/>
                <w:color w:val="auto"/>
                <w:sz w:val="24"/>
              </w:rPr>
              <w:t>。</w:t>
            </w:r>
            <w:r>
              <w:rPr>
                <w:rFonts w:hint="eastAsia" w:ascii="仿宋" w:hAnsi="仿宋" w:eastAsia="仿宋" w:cs="仿宋"/>
                <w:color w:val="auto"/>
                <w:sz w:val="24"/>
                <w:lang w:eastAsia="zh-CN"/>
              </w:rPr>
              <w:t>废水经上窑工业聚集区污水处理厂处理，</w:t>
            </w:r>
            <w:r>
              <w:rPr>
                <w:rFonts w:hint="eastAsia" w:ascii="仿宋" w:hAnsi="仿宋" w:eastAsia="仿宋" w:cs="仿宋"/>
                <w:color w:val="auto"/>
                <w:sz w:val="24"/>
                <w:lang w:val="zh-TW" w:eastAsia="zh-CN"/>
              </w:rPr>
              <w:t>满足</w:t>
            </w:r>
            <w:r>
              <w:rPr>
                <w:rFonts w:hint="eastAsia" w:ascii="仿宋" w:hAnsi="仿宋" w:eastAsia="仿宋" w:cs="仿宋"/>
                <w:color w:val="auto"/>
                <w:sz w:val="24"/>
                <w:lang w:val="zh-TW" w:eastAsia="zh-TW"/>
              </w:rPr>
              <w:t>《城镇污水处理厂污染物排放标准》（GB18918-2002）一级A标准后排入</w:t>
            </w:r>
            <w:r>
              <w:rPr>
                <w:rFonts w:hint="eastAsia" w:ascii="仿宋" w:hAnsi="仿宋" w:eastAsia="仿宋" w:cs="仿宋"/>
                <w:color w:val="auto"/>
                <w:sz w:val="24"/>
                <w:lang w:val="en-US" w:eastAsia="zh-CN"/>
              </w:rPr>
              <w:t>窑河</w:t>
            </w:r>
            <w:r>
              <w:rPr>
                <w:rFonts w:hint="eastAsia" w:ascii="仿宋" w:hAnsi="仿宋" w:eastAsia="仿宋" w:cs="仿宋"/>
                <w:color w:val="auto"/>
                <w:sz w:val="24"/>
                <w:lang w:val="zh-TW" w:eastAsia="zh-TW"/>
              </w:rPr>
              <w:t>。</w:t>
            </w:r>
          </w:p>
          <w:p w14:paraId="4C59C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napToGrid w:val="0"/>
                <w:color w:val="auto"/>
                <w:kern w:val="0"/>
                <w:sz w:val="21"/>
                <w:szCs w:val="21"/>
                <w:lang w:val="zh-CN" w:eastAsia="zh-CN"/>
              </w:rPr>
            </w:pPr>
            <w:r>
              <w:rPr>
                <w:rFonts w:hint="eastAsia" w:ascii="仿宋" w:hAnsi="仿宋" w:eastAsia="仿宋" w:cs="仿宋"/>
                <w:b/>
                <w:snapToGrid w:val="0"/>
                <w:color w:val="auto"/>
                <w:kern w:val="0"/>
                <w:sz w:val="21"/>
                <w:szCs w:val="21"/>
                <w:lang w:val="zh-CN" w:eastAsia="zh-CN"/>
              </w:rPr>
              <w:t>表</w:t>
            </w:r>
            <w:r>
              <w:rPr>
                <w:rFonts w:hint="eastAsia" w:ascii="仿宋" w:hAnsi="仿宋" w:eastAsia="仿宋" w:cs="仿宋"/>
                <w:b/>
                <w:snapToGrid w:val="0"/>
                <w:color w:val="auto"/>
                <w:kern w:val="0"/>
                <w:sz w:val="21"/>
                <w:szCs w:val="21"/>
                <w:lang w:val="en-US" w:eastAsia="zh-CN"/>
              </w:rPr>
              <w:t>3-13</w:t>
            </w:r>
            <w:r>
              <w:rPr>
                <w:rFonts w:hint="eastAsia" w:ascii="仿宋" w:hAnsi="仿宋" w:eastAsia="仿宋" w:cs="仿宋"/>
                <w:b/>
                <w:snapToGrid w:val="0"/>
                <w:color w:val="auto"/>
                <w:kern w:val="0"/>
                <w:sz w:val="21"/>
                <w:szCs w:val="21"/>
                <w:lang w:val="zh-CN" w:eastAsia="zh-CN"/>
              </w:rPr>
              <w:t xml:space="preserve">  </w:t>
            </w:r>
            <w:r>
              <w:rPr>
                <w:rFonts w:hint="eastAsia" w:ascii="仿宋" w:hAnsi="仿宋" w:eastAsia="仿宋" w:cs="仿宋"/>
                <w:b/>
                <w:snapToGrid w:val="0"/>
                <w:color w:val="auto"/>
                <w:kern w:val="0"/>
                <w:sz w:val="21"/>
                <w:szCs w:val="21"/>
                <w:lang w:val="en-US" w:eastAsia="zh-CN"/>
              </w:rPr>
              <w:t>废水排放标准汇总</w:t>
            </w:r>
            <w:r>
              <w:rPr>
                <w:rFonts w:hint="eastAsia" w:ascii="仿宋" w:hAnsi="仿宋" w:eastAsia="仿宋" w:cs="仿宋"/>
                <w:b/>
                <w:snapToGrid w:val="0"/>
                <w:color w:val="auto"/>
                <w:kern w:val="0"/>
                <w:sz w:val="21"/>
                <w:szCs w:val="21"/>
                <w:lang w:val="zh-CN" w:eastAsia="zh-CN"/>
              </w:rPr>
              <w:t xml:space="preserve">    （单位：除pH外均为mg/L）</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14"/>
              <w:gridCol w:w="955"/>
              <w:gridCol w:w="1125"/>
              <w:gridCol w:w="1125"/>
              <w:gridCol w:w="1339"/>
              <w:gridCol w:w="1196"/>
            </w:tblGrid>
            <w:tr w14:paraId="50C4C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523" w:type="pct"/>
                  <w:tcBorders>
                    <w:tl2br w:val="nil"/>
                    <w:tr2bl w:val="nil"/>
                  </w:tcBorders>
                  <w:shd w:val="clear" w:color="auto" w:fill="auto"/>
                  <w:vAlign w:val="center"/>
                </w:tcPr>
                <w:p w14:paraId="1EDD8609">
                  <w:pPr>
                    <w:jc w:val="center"/>
                    <w:rPr>
                      <w:rFonts w:hint="eastAsia" w:ascii="仿宋" w:hAnsi="仿宋" w:eastAsia="仿宋" w:cs="仿宋"/>
                      <w:color w:val="auto"/>
                    </w:rPr>
                  </w:pPr>
                  <w:r>
                    <w:rPr>
                      <w:rFonts w:hint="eastAsia" w:ascii="仿宋" w:hAnsi="仿宋" w:eastAsia="仿宋" w:cs="仿宋"/>
                      <w:color w:val="auto"/>
                    </w:rPr>
                    <w:t>标准级别</w:t>
                  </w:r>
                </w:p>
              </w:tc>
              <w:tc>
                <w:tcPr>
                  <w:tcW w:w="578" w:type="pct"/>
                  <w:tcBorders>
                    <w:tl2br w:val="nil"/>
                    <w:tr2bl w:val="nil"/>
                  </w:tcBorders>
                  <w:shd w:val="clear" w:color="auto" w:fill="auto"/>
                  <w:vAlign w:val="center"/>
                </w:tcPr>
                <w:p w14:paraId="47839892">
                  <w:pPr>
                    <w:jc w:val="center"/>
                    <w:rPr>
                      <w:rFonts w:hint="eastAsia" w:ascii="仿宋" w:hAnsi="仿宋" w:eastAsia="仿宋" w:cs="仿宋"/>
                      <w:color w:val="auto"/>
                    </w:rPr>
                  </w:pPr>
                  <w:r>
                    <w:rPr>
                      <w:rFonts w:hint="eastAsia" w:ascii="仿宋" w:hAnsi="仿宋" w:eastAsia="仿宋" w:cs="仿宋"/>
                      <w:color w:val="auto"/>
                    </w:rPr>
                    <w:t>pH</w:t>
                  </w:r>
                </w:p>
              </w:tc>
              <w:tc>
                <w:tcPr>
                  <w:tcW w:w="681" w:type="pct"/>
                  <w:tcBorders>
                    <w:tl2br w:val="nil"/>
                    <w:tr2bl w:val="nil"/>
                  </w:tcBorders>
                  <w:shd w:val="clear" w:color="auto" w:fill="auto"/>
                  <w:vAlign w:val="center"/>
                </w:tcPr>
                <w:p w14:paraId="1C80581D">
                  <w:pPr>
                    <w:jc w:val="center"/>
                    <w:rPr>
                      <w:rFonts w:hint="eastAsia" w:ascii="仿宋" w:hAnsi="仿宋" w:eastAsia="仿宋" w:cs="仿宋"/>
                      <w:color w:val="auto"/>
                    </w:rPr>
                  </w:pPr>
                  <w:r>
                    <w:rPr>
                      <w:rFonts w:hint="eastAsia" w:ascii="仿宋" w:hAnsi="仿宋" w:eastAsia="仿宋" w:cs="仿宋"/>
                      <w:color w:val="auto"/>
                    </w:rPr>
                    <w:t>COD</w:t>
                  </w:r>
                </w:p>
              </w:tc>
              <w:tc>
                <w:tcPr>
                  <w:tcW w:w="681" w:type="pct"/>
                  <w:tcBorders>
                    <w:tl2br w:val="nil"/>
                    <w:tr2bl w:val="nil"/>
                  </w:tcBorders>
                  <w:shd w:val="clear" w:color="auto" w:fill="auto"/>
                  <w:vAlign w:val="center"/>
                </w:tcPr>
                <w:p w14:paraId="4AD09C14">
                  <w:pPr>
                    <w:jc w:val="center"/>
                    <w:rPr>
                      <w:rFonts w:hint="eastAsia" w:ascii="仿宋" w:hAnsi="仿宋" w:eastAsia="仿宋" w:cs="仿宋"/>
                      <w:color w:val="auto"/>
                    </w:rPr>
                  </w:pPr>
                  <w:r>
                    <w:rPr>
                      <w:rFonts w:hint="eastAsia" w:ascii="仿宋" w:hAnsi="仿宋" w:eastAsia="仿宋" w:cs="仿宋"/>
                      <w:color w:val="auto"/>
                    </w:rPr>
                    <w:t>BOD</w:t>
                  </w:r>
                  <w:r>
                    <w:rPr>
                      <w:rFonts w:hint="eastAsia" w:ascii="仿宋" w:hAnsi="仿宋" w:eastAsia="仿宋" w:cs="仿宋"/>
                      <w:color w:val="auto"/>
                      <w:vertAlign w:val="subscript"/>
                    </w:rPr>
                    <w:t>5</w:t>
                  </w:r>
                </w:p>
              </w:tc>
              <w:tc>
                <w:tcPr>
                  <w:tcW w:w="811" w:type="pct"/>
                  <w:tcBorders>
                    <w:tl2br w:val="nil"/>
                    <w:tr2bl w:val="nil"/>
                  </w:tcBorders>
                  <w:shd w:val="clear" w:color="auto" w:fill="auto"/>
                  <w:vAlign w:val="center"/>
                </w:tcPr>
                <w:p w14:paraId="0A58CA57">
                  <w:pPr>
                    <w:jc w:val="center"/>
                    <w:rPr>
                      <w:rFonts w:hint="eastAsia" w:ascii="仿宋" w:hAnsi="仿宋" w:eastAsia="仿宋" w:cs="仿宋"/>
                      <w:color w:val="auto"/>
                    </w:rPr>
                  </w:pPr>
                  <w:r>
                    <w:rPr>
                      <w:rFonts w:hint="eastAsia" w:ascii="仿宋" w:hAnsi="仿宋" w:eastAsia="仿宋" w:cs="仿宋"/>
                      <w:color w:val="auto"/>
                    </w:rPr>
                    <w:t>NH</w:t>
                  </w:r>
                  <w:r>
                    <w:rPr>
                      <w:rFonts w:hint="eastAsia" w:ascii="仿宋" w:hAnsi="仿宋" w:eastAsia="仿宋" w:cs="仿宋"/>
                      <w:color w:val="auto"/>
                      <w:vertAlign w:val="subscript"/>
                    </w:rPr>
                    <w:t>3</w:t>
                  </w:r>
                  <w:r>
                    <w:rPr>
                      <w:rFonts w:hint="eastAsia" w:ascii="仿宋" w:hAnsi="仿宋" w:eastAsia="仿宋" w:cs="仿宋"/>
                      <w:color w:val="auto"/>
                    </w:rPr>
                    <w:t>-N</w:t>
                  </w:r>
                </w:p>
              </w:tc>
              <w:tc>
                <w:tcPr>
                  <w:tcW w:w="724" w:type="pct"/>
                  <w:tcBorders>
                    <w:tl2br w:val="nil"/>
                    <w:tr2bl w:val="nil"/>
                  </w:tcBorders>
                  <w:shd w:val="clear" w:color="auto" w:fill="auto"/>
                  <w:vAlign w:val="center"/>
                </w:tcPr>
                <w:p w14:paraId="62C6B3B3">
                  <w:pPr>
                    <w:jc w:val="center"/>
                    <w:rPr>
                      <w:rFonts w:hint="eastAsia" w:ascii="仿宋" w:hAnsi="仿宋" w:eastAsia="仿宋" w:cs="仿宋"/>
                      <w:color w:val="auto"/>
                    </w:rPr>
                  </w:pPr>
                  <w:r>
                    <w:rPr>
                      <w:rFonts w:hint="eastAsia" w:ascii="仿宋" w:hAnsi="仿宋" w:eastAsia="仿宋" w:cs="仿宋"/>
                      <w:color w:val="auto"/>
                    </w:rPr>
                    <w:t>SS</w:t>
                  </w:r>
                </w:p>
              </w:tc>
            </w:tr>
            <w:tr w14:paraId="634C1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523" w:type="pct"/>
                  <w:tcBorders>
                    <w:tl2br w:val="nil"/>
                    <w:tr2bl w:val="nil"/>
                  </w:tcBorders>
                  <w:shd w:val="clear" w:color="auto" w:fill="auto"/>
                  <w:vAlign w:val="center"/>
                </w:tcPr>
                <w:p w14:paraId="76A2E9B2">
                  <w:pPr>
                    <w:jc w:val="center"/>
                    <w:rPr>
                      <w:rFonts w:hint="eastAsia" w:ascii="仿宋" w:hAnsi="仿宋" w:eastAsia="仿宋" w:cs="仿宋"/>
                      <w:color w:val="auto"/>
                    </w:rPr>
                  </w:pPr>
                  <w:r>
                    <w:rPr>
                      <w:rFonts w:hint="eastAsia" w:ascii="仿宋" w:hAnsi="仿宋" w:eastAsia="仿宋" w:cs="仿宋"/>
                      <w:color w:val="auto"/>
                      <w:lang w:eastAsia="zh-CN"/>
                    </w:rPr>
                    <w:t>上窑工业聚集区污水处理厂</w:t>
                  </w:r>
                  <w:r>
                    <w:rPr>
                      <w:rFonts w:hint="eastAsia" w:ascii="仿宋" w:hAnsi="仿宋" w:eastAsia="仿宋" w:cs="仿宋"/>
                      <w:color w:val="auto"/>
                    </w:rPr>
                    <w:t>接管标准</w:t>
                  </w:r>
                </w:p>
              </w:tc>
              <w:tc>
                <w:tcPr>
                  <w:tcW w:w="578" w:type="pct"/>
                  <w:tcBorders>
                    <w:tl2br w:val="nil"/>
                    <w:tr2bl w:val="nil"/>
                  </w:tcBorders>
                  <w:shd w:val="clear" w:color="auto" w:fill="auto"/>
                  <w:vAlign w:val="center"/>
                </w:tcPr>
                <w:p w14:paraId="140B077F">
                  <w:pPr>
                    <w:jc w:val="center"/>
                    <w:rPr>
                      <w:rFonts w:hint="eastAsia" w:ascii="仿宋" w:hAnsi="仿宋" w:eastAsia="仿宋" w:cs="仿宋"/>
                      <w:color w:val="auto"/>
                    </w:rPr>
                  </w:pPr>
                  <w:r>
                    <w:rPr>
                      <w:rFonts w:hint="eastAsia" w:ascii="仿宋" w:hAnsi="仿宋" w:eastAsia="仿宋" w:cs="仿宋"/>
                      <w:color w:val="auto"/>
                    </w:rPr>
                    <w:t>6~9</w:t>
                  </w:r>
                </w:p>
              </w:tc>
              <w:tc>
                <w:tcPr>
                  <w:tcW w:w="681" w:type="pct"/>
                  <w:tcBorders>
                    <w:tl2br w:val="nil"/>
                    <w:tr2bl w:val="nil"/>
                  </w:tcBorders>
                  <w:shd w:val="clear" w:color="auto" w:fill="auto"/>
                  <w:vAlign w:val="center"/>
                </w:tcPr>
                <w:p w14:paraId="03D0C86D">
                  <w:p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300</w:t>
                  </w:r>
                </w:p>
              </w:tc>
              <w:tc>
                <w:tcPr>
                  <w:tcW w:w="681" w:type="pct"/>
                  <w:tcBorders>
                    <w:tl2br w:val="nil"/>
                    <w:tr2bl w:val="nil"/>
                  </w:tcBorders>
                  <w:shd w:val="clear" w:color="auto" w:fill="auto"/>
                  <w:vAlign w:val="center"/>
                </w:tcPr>
                <w:p w14:paraId="075CE72F">
                  <w:p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150</w:t>
                  </w:r>
                </w:p>
              </w:tc>
              <w:tc>
                <w:tcPr>
                  <w:tcW w:w="811" w:type="pct"/>
                  <w:tcBorders>
                    <w:tl2br w:val="nil"/>
                    <w:tr2bl w:val="nil"/>
                  </w:tcBorders>
                  <w:shd w:val="clear" w:color="auto" w:fill="auto"/>
                  <w:vAlign w:val="center"/>
                </w:tcPr>
                <w:p w14:paraId="581DF9D3">
                  <w:pPr>
                    <w:jc w:val="center"/>
                    <w:rPr>
                      <w:rFonts w:hint="eastAsia" w:ascii="仿宋" w:hAnsi="仿宋" w:eastAsia="仿宋" w:cs="仿宋"/>
                      <w:color w:val="auto"/>
                    </w:rPr>
                  </w:pPr>
                  <w:r>
                    <w:rPr>
                      <w:rFonts w:hint="eastAsia" w:ascii="仿宋" w:hAnsi="仿宋" w:eastAsia="仿宋" w:cs="仿宋"/>
                      <w:color w:val="auto"/>
                    </w:rPr>
                    <w:t>30</w:t>
                  </w:r>
                </w:p>
              </w:tc>
              <w:tc>
                <w:tcPr>
                  <w:tcW w:w="724" w:type="pct"/>
                  <w:tcBorders>
                    <w:tl2br w:val="nil"/>
                    <w:tr2bl w:val="nil"/>
                  </w:tcBorders>
                  <w:shd w:val="clear" w:color="auto" w:fill="auto"/>
                  <w:vAlign w:val="center"/>
                </w:tcPr>
                <w:p w14:paraId="4AA87C7C">
                  <w:pPr>
                    <w:jc w:val="center"/>
                    <w:rPr>
                      <w:rFonts w:hint="eastAsia" w:ascii="仿宋" w:hAnsi="仿宋" w:eastAsia="仿宋" w:cs="仿宋"/>
                      <w:color w:val="auto"/>
                    </w:rPr>
                  </w:pPr>
                  <w:r>
                    <w:rPr>
                      <w:rFonts w:hint="eastAsia" w:ascii="仿宋" w:hAnsi="仿宋" w:eastAsia="仿宋" w:cs="仿宋"/>
                      <w:color w:val="auto"/>
                    </w:rPr>
                    <w:t>180</w:t>
                  </w:r>
                </w:p>
              </w:tc>
            </w:tr>
            <w:tr w14:paraId="3DDEFA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523" w:type="pct"/>
                  <w:tcBorders>
                    <w:tl2br w:val="nil"/>
                    <w:tr2bl w:val="nil"/>
                  </w:tcBorders>
                  <w:shd w:val="clear" w:color="auto" w:fill="auto"/>
                  <w:vAlign w:val="center"/>
                </w:tcPr>
                <w:p w14:paraId="01E1C361">
                  <w:pPr>
                    <w:jc w:val="center"/>
                    <w:rPr>
                      <w:rFonts w:hint="eastAsia" w:ascii="仿宋" w:hAnsi="仿宋" w:eastAsia="仿宋" w:cs="仿宋"/>
                      <w:color w:val="auto"/>
                    </w:rPr>
                  </w:pPr>
                  <w:r>
                    <w:rPr>
                      <w:rFonts w:hint="eastAsia" w:ascii="仿宋" w:hAnsi="仿宋" w:eastAsia="仿宋" w:cs="仿宋"/>
                      <w:color w:val="auto"/>
                      <w:lang w:val="zh-TW" w:eastAsia="zh-TW"/>
                    </w:rPr>
                    <w:t>GB18918-2002一级A</w:t>
                  </w:r>
                </w:p>
              </w:tc>
              <w:tc>
                <w:tcPr>
                  <w:tcW w:w="578" w:type="pct"/>
                  <w:tcBorders>
                    <w:tl2br w:val="nil"/>
                    <w:tr2bl w:val="nil"/>
                  </w:tcBorders>
                  <w:shd w:val="clear" w:color="auto" w:fill="auto"/>
                  <w:vAlign w:val="center"/>
                </w:tcPr>
                <w:p w14:paraId="171AAA0E">
                  <w:pPr>
                    <w:jc w:val="center"/>
                    <w:rPr>
                      <w:rFonts w:hint="eastAsia" w:ascii="仿宋" w:hAnsi="仿宋" w:eastAsia="仿宋" w:cs="仿宋"/>
                      <w:color w:val="auto"/>
                    </w:rPr>
                  </w:pPr>
                  <w:r>
                    <w:rPr>
                      <w:rFonts w:hint="eastAsia" w:ascii="仿宋" w:hAnsi="仿宋" w:eastAsia="仿宋" w:cs="仿宋"/>
                      <w:color w:val="auto"/>
                    </w:rPr>
                    <w:t>6~9</w:t>
                  </w:r>
                </w:p>
              </w:tc>
              <w:tc>
                <w:tcPr>
                  <w:tcW w:w="681" w:type="pct"/>
                  <w:tcBorders>
                    <w:tl2br w:val="nil"/>
                    <w:tr2bl w:val="nil"/>
                  </w:tcBorders>
                  <w:shd w:val="clear" w:color="auto" w:fill="auto"/>
                  <w:vAlign w:val="center"/>
                </w:tcPr>
                <w:p w14:paraId="71206489">
                  <w:pPr>
                    <w:jc w:val="center"/>
                    <w:rPr>
                      <w:rFonts w:hint="eastAsia" w:ascii="仿宋" w:hAnsi="仿宋" w:eastAsia="仿宋" w:cs="仿宋"/>
                      <w:color w:val="auto"/>
                    </w:rPr>
                  </w:pPr>
                  <w:r>
                    <w:rPr>
                      <w:rFonts w:hint="eastAsia" w:ascii="仿宋" w:hAnsi="仿宋" w:eastAsia="仿宋" w:cs="仿宋"/>
                      <w:color w:val="auto"/>
                      <w:lang w:val="en-US" w:eastAsia="zh-CN"/>
                    </w:rPr>
                    <w:t>50</w:t>
                  </w:r>
                </w:p>
              </w:tc>
              <w:tc>
                <w:tcPr>
                  <w:tcW w:w="681" w:type="pct"/>
                  <w:tcBorders>
                    <w:tl2br w:val="nil"/>
                    <w:tr2bl w:val="nil"/>
                  </w:tcBorders>
                  <w:shd w:val="clear" w:color="auto" w:fill="auto"/>
                  <w:vAlign w:val="center"/>
                </w:tcPr>
                <w:p w14:paraId="1617C822">
                  <w:pPr>
                    <w:jc w:val="center"/>
                    <w:rPr>
                      <w:rFonts w:hint="eastAsia" w:ascii="仿宋" w:hAnsi="仿宋" w:eastAsia="仿宋" w:cs="仿宋"/>
                      <w:color w:val="auto"/>
                    </w:rPr>
                  </w:pPr>
                  <w:r>
                    <w:rPr>
                      <w:rFonts w:hint="eastAsia" w:ascii="仿宋" w:hAnsi="仿宋" w:eastAsia="仿宋" w:cs="仿宋"/>
                      <w:color w:val="auto"/>
                      <w:lang w:val="en-US" w:eastAsia="zh-CN"/>
                    </w:rPr>
                    <w:t>10</w:t>
                  </w:r>
                </w:p>
              </w:tc>
              <w:tc>
                <w:tcPr>
                  <w:tcW w:w="811" w:type="pct"/>
                  <w:tcBorders>
                    <w:tl2br w:val="nil"/>
                    <w:tr2bl w:val="nil"/>
                  </w:tcBorders>
                  <w:shd w:val="clear" w:color="auto" w:fill="auto"/>
                  <w:vAlign w:val="center"/>
                </w:tcPr>
                <w:p w14:paraId="28C0D6B4">
                  <w:pPr>
                    <w:jc w:val="center"/>
                    <w:rPr>
                      <w:rFonts w:hint="eastAsia" w:ascii="仿宋" w:hAnsi="仿宋" w:eastAsia="仿宋" w:cs="仿宋"/>
                      <w:color w:val="auto"/>
                    </w:rPr>
                  </w:pPr>
                  <w:r>
                    <w:rPr>
                      <w:rFonts w:hint="eastAsia" w:ascii="仿宋" w:hAnsi="仿宋" w:eastAsia="仿宋" w:cs="仿宋"/>
                      <w:color w:val="auto"/>
                      <w:lang w:val="en-US" w:eastAsia="zh-CN"/>
                    </w:rPr>
                    <w:t>5（8）</w:t>
                  </w:r>
                </w:p>
              </w:tc>
              <w:tc>
                <w:tcPr>
                  <w:tcW w:w="724" w:type="pct"/>
                  <w:tcBorders>
                    <w:tl2br w:val="nil"/>
                    <w:tr2bl w:val="nil"/>
                  </w:tcBorders>
                  <w:shd w:val="clear" w:color="auto" w:fill="auto"/>
                  <w:vAlign w:val="center"/>
                </w:tcPr>
                <w:p w14:paraId="590DCFB3">
                  <w:pPr>
                    <w:jc w:val="center"/>
                    <w:rPr>
                      <w:rFonts w:hint="eastAsia" w:ascii="仿宋" w:hAnsi="仿宋" w:eastAsia="仿宋" w:cs="仿宋"/>
                      <w:color w:val="auto"/>
                    </w:rPr>
                  </w:pPr>
                  <w:r>
                    <w:rPr>
                      <w:rFonts w:hint="eastAsia" w:ascii="仿宋" w:hAnsi="仿宋" w:eastAsia="仿宋" w:cs="仿宋"/>
                      <w:color w:val="auto"/>
                      <w:lang w:val="en-US" w:eastAsia="zh-CN"/>
                    </w:rPr>
                    <w:t>10</w:t>
                  </w:r>
                </w:p>
              </w:tc>
            </w:tr>
          </w:tbl>
          <w:p w14:paraId="285B8C4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3、噪声</w:t>
            </w:r>
            <w:r>
              <w:rPr>
                <w:rFonts w:hint="eastAsia" w:ascii="仿宋" w:hAnsi="仿宋" w:eastAsia="仿宋" w:cs="仿宋"/>
                <w:b/>
                <w:bCs/>
                <w:color w:val="auto"/>
                <w:sz w:val="24"/>
                <w:szCs w:val="24"/>
                <w:lang w:eastAsia="zh-CN"/>
              </w:rPr>
              <w:t>：</w:t>
            </w:r>
            <w:r>
              <w:rPr>
                <w:rFonts w:hint="eastAsia" w:ascii="仿宋" w:hAnsi="仿宋" w:eastAsia="仿宋" w:cs="仿宋"/>
                <w:color w:val="auto"/>
                <w:sz w:val="24"/>
                <w:szCs w:val="24"/>
              </w:rPr>
              <w:t>厂界噪声执行《工业企业厂界环境噪声排放标准》（GB12348-2008）中的</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类标准。</w:t>
            </w:r>
          </w:p>
          <w:p w14:paraId="32C574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napToGrid w:val="0"/>
                <w:color w:val="auto"/>
                <w:kern w:val="0"/>
                <w:sz w:val="21"/>
                <w:szCs w:val="21"/>
                <w:lang w:val="zh-CN" w:eastAsia="zh-CN"/>
              </w:rPr>
            </w:pPr>
            <w:r>
              <w:rPr>
                <w:rFonts w:hint="eastAsia" w:ascii="仿宋" w:hAnsi="仿宋" w:eastAsia="仿宋" w:cs="仿宋"/>
                <w:b/>
                <w:snapToGrid w:val="0"/>
                <w:color w:val="auto"/>
                <w:kern w:val="0"/>
                <w:sz w:val="21"/>
                <w:szCs w:val="21"/>
                <w:lang w:val="zh-CN" w:eastAsia="zh-CN"/>
              </w:rPr>
              <w:t>表</w:t>
            </w:r>
            <w:r>
              <w:rPr>
                <w:rFonts w:hint="eastAsia" w:ascii="仿宋" w:hAnsi="仿宋" w:eastAsia="仿宋" w:cs="仿宋"/>
                <w:b/>
                <w:snapToGrid w:val="0"/>
                <w:color w:val="auto"/>
                <w:kern w:val="0"/>
                <w:sz w:val="21"/>
                <w:szCs w:val="21"/>
                <w:lang w:val="en-US" w:eastAsia="zh-CN"/>
              </w:rPr>
              <w:t>3-14</w:t>
            </w:r>
            <w:r>
              <w:rPr>
                <w:rFonts w:hint="eastAsia" w:ascii="仿宋" w:hAnsi="仿宋" w:eastAsia="仿宋" w:cs="仿宋"/>
                <w:b/>
                <w:snapToGrid w:val="0"/>
                <w:color w:val="auto"/>
                <w:kern w:val="0"/>
                <w:sz w:val="21"/>
                <w:szCs w:val="21"/>
                <w:lang w:val="zh-CN" w:eastAsia="zh-CN"/>
              </w:rPr>
              <w:t xml:space="preserve">  运营期环境噪声排放限值 单位：dB(A)</w:t>
            </w:r>
          </w:p>
          <w:tbl>
            <w:tblPr>
              <w:tblStyle w:val="32"/>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5"/>
              <w:gridCol w:w="1056"/>
              <w:gridCol w:w="963"/>
            </w:tblGrid>
            <w:tr w14:paraId="3543A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1" w:type="pct"/>
                  <w:tcBorders>
                    <w:tl2br w:val="nil"/>
                    <w:tr2bl w:val="nil"/>
                  </w:tcBorders>
                  <w:noWrap w:val="0"/>
                  <w:vAlign w:val="center"/>
                </w:tcPr>
                <w:p w14:paraId="7BB709F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标准类别</w:t>
                  </w:r>
                </w:p>
              </w:tc>
              <w:tc>
                <w:tcPr>
                  <w:tcW w:w="642" w:type="pct"/>
                  <w:tcBorders>
                    <w:tl2br w:val="nil"/>
                    <w:tr2bl w:val="nil"/>
                  </w:tcBorders>
                  <w:noWrap w:val="0"/>
                  <w:vAlign w:val="center"/>
                </w:tcPr>
                <w:p w14:paraId="17AD4FC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昼间</w:t>
                  </w:r>
                </w:p>
              </w:tc>
              <w:tc>
                <w:tcPr>
                  <w:tcW w:w="585" w:type="pct"/>
                  <w:tcBorders>
                    <w:tl2br w:val="nil"/>
                    <w:tr2bl w:val="nil"/>
                  </w:tcBorders>
                  <w:noWrap w:val="0"/>
                  <w:vAlign w:val="center"/>
                </w:tcPr>
                <w:p w14:paraId="77AA366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夜间</w:t>
                  </w:r>
                </w:p>
              </w:tc>
            </w:tr>
            <w:tr w14:paraId="4525D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1" w:type="pct"/>
                  <w:tcBorders>
                    <w:tl2br w:val="nil"/>
                    <w:tr2bl w:val="nil"/>
                  </w:tcBorders>
                  <w:noWrap w:val="0"/>
                  <w:vAlign w:val="center"/>
                </w:tcPr>
                <w:p w14:paraId="31B596C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《工业企业厂界环境噪声排放标准》（GB12348-2008）中</w:t>
                  </w:r>
                  <w:r>
                    <w:rPr>
                      <w:rFonts w:hint="eastAsia" w:ascii="仿宋" w:hAnsi="仿宋" w:eastAsia="仿宋" w:cs="仿宋"/>
                      <w:color w:val="auto"/>
                      <w:sz w:val="21"/>
                      <w:szCs w:val="21"/>
                      <w:lang w:val="en-US" w:eastAsia="zh-CN"/>
                    </w:rPr>
                    <w:t>3类</w:t>
                  </w:r>
                </w:p>
              </w:tc>
              <w:tc>
                <w:tcPr>
                  <w:tcW w:w="642" w:type="pct"/>
                  <w:tcBorders>
                    <w:tl2br w:val="nil"/>
                    <w:tr2bl w:val="nil"/>
                  </w:tcBorders>
                  <w:noWrap w:val="0"/>
                  <w:vAlign w:val="center"/>
                </w:tcPr>
                <w:p w14:paraId="1877F2D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65</w:t>
                  </w:r>
                </w:p>
              </w:tc>
              <w:tc>
                <w:tcPr>
                  <w:tcW w:w="585" w:type="pct"/>
                  <w:tcBorders>
                    <w:tl2br w:val="nil"/>
                    <w:tr2bl w:val="nil"/>
                  </w:tcBorders>
                  <w:noWrap w:val="0"/>
                  <w:vAlign w:val="center"/>
                </w:tcPr>
                <w:p w14:paraId="52E5497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55</w:t>
                  </w:r>
                </w:p>
              </w:tc>
            </w:tr>
          </w:tbl>
          <w:p w14:paraId="38E862D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FF0000"/>
                <w:szCs w:val="21"/>
                <w:lang w:eastAsia="zh-CN"/>
              </w:rPr>
            </w:pPr>
            <w:r>
              <w:rPr>
                <w:rFonts w:hint="eastAsia" w:ascii="仿宋" w:hAnsi="仿宋" w:eastAsia="仿宋" w:cs="仿宋"/>
                <w:b/>
                <w:bCs/>
                <w:color w:val="auto"/>
                <w:sz w:val="24"/>
                <w:szCs w:val="24"/>
              </w:rPr>
              <w:t>4、固废</w:t>
            </w:r>
            <w:r>
              <w:rPr>
                <w:rFonts w:hint="eastAsia" w:ascii="仿宋" w:hAnsi="仿宋" w:eastAsia="仿宋" w:cs="仿宋"/>
                <w:b/>
                <w:bCs/>
                <w:color w:val="auto"/>
                <w:sz w:val="24"/>
                <w:szCs w:val="24"/>
                <w:lang w:eastAsia="zh-CN"/>
              </w:rPr>
              <w:t>：</w:t>
            </w:r>
            <w:r>
              <w:rPr>
                <w:rFonts w:hint="eastAsia" w:ascii="仿宋" w:hAnsi="仿宋" w:eastAsia="仿宋" w:cs="仿宋"/>
                <w:color w:val="000000"/>
                <w:kern w:val="0"/>
                <w:sz w:val="24"/>
                <w:szCs w:val="24"/>
                <w:lang w:val="en-US" w:eastAsia="zh-CN" w:bidi="ar"/>
              </w:rPr>
              <w:t>危废贮存按《危险废物贮存污染控制标准》（GB18597-2023）进行贮存，一般工业固废贮存参照《一般工业固体废物贮存和填埋污染控制标准》（GB18599-2020）中的贮存过程要求。</w:t>
            </w:r>
          </w:p>
        </w:tc>
      </w:tr>
      <w:tr w14:paraId="7596D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517" w:type="dxa"/>
            <w:vAlign w:val="center"/>
          </w:tcPr>
          <w:p w14:paraId="72A5DB9A">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总量控制指标</w:t>
            </w:r>
          </w:p>
        </w:tc>
        <w:tc>
          <w:tcPr>
            <w:tcW w:w="8473" w:type="dxa"/>
            <w:vAlign w:val="center"/>
          </w:tcPr>
          <w:p w14:paraId="0EDFBB5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Cs/>
                <w:snapToGrid w:val="0"/>
                <w:color w:val="auto"/>
                <w:kern w:val="0"/>
                <w:sz w:val="24"/>
                <w:szCs w:val="24"/>
                <w:highlight w:val="none"/>
                <w:lang w:val="en-US" w:eastAsia="zh-CN"/>
              </w:rPr>
              <w:t>本项目建设后外排废水主要是生活污水，生活污水经园区管网进入污水处理厂处理，不需申请总量控制指标。</w:t>
            </w:r>
          </w:p>
          <w:p w14:paraId="5F71804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bCs/>
                <w:snapToGrid w:val="0"/>
                <w:color w:val="auto"/>
                <w:kern w:val="0"/>
                <w:sz w:val="24"/>
                <w:szCs w:val="24"/>
                <w:highlight w:val="none"/>
              </w:rPr>
              <w:t>本项目</w:t>
            </w:r>
            <w:r>
              <w:rPr>
                <w:rFonts w:hint="eastAsia" w:ascii="仿宋" w:hAnsi="仿宋" w:eastAsia="仿宋" w:cs="仿宋"/>
                <w:bCs/>
                <w:snapToGrid w:val="0"/>
                <w:color w:val="auto"/>
                <w:kern w:val="0"/>
                <w:sz w:val="24"/>
                <w:szCs w:val="24"/>
                <w:highlight w:val="none"/>
                <w:lang w:val="en-US" w:eastAsia="zh-CN"/>
              </w:rPr>
              <w:t>生产中总量控制污染物烟粉尘排放量分别为0.333t/a。由建设单位向淮南市大通区生态环境分局申请。</w:t>
            </w:r>
          </w:p>
        </w:tc>
      </w:tr>
    </w:tbl>
    <w:p w14:paraId="3554D7AC">
      <w:pPr>
        <w:pStyle w:val="28"/>
        <w:spacing w:before="0" w:beforeAutospacing="0" w:after="0" w:afterAutospacing="0"/>
        <w:jc w:val="center"/>
        <w:outlineLvl w:val="0"/>
        <w:rPr>
          <w:rFonts w:hint="eastAsia" w:ascii="仿宋" w:hAnsi="仿宋" w:eastAsia="仿宋" w:cs="仿宋"/>
          <w:snapToGrid w:val="0"/>
          <w:color w:val="auto"/>
          <w:sz w:val="30"/>
          <w:szCs w:val="30"/>
        </w:rPr>
      </w:pPr>
      <w:r>
        <w:rPr>
          <w:rFonts w:hint="eastAsia" w:ascii="仿宋" w:hAnsi="仿宋" w:eastAsia="仿宋" w:cs="仿宋"/>
          <w:snapToGrid w:val="0"/>
          <w:color w:val="auto"/>
          <w:sz w:val="36"/>
          <w:szCs w:val="36"/>
        </w:rPr>
        <w:br w:type="page"/>
      </w:r>
      <w:r>
        <w:rPr>
          <w:rFonts w:hint="eastAsia" w:ascii="仿宋" w:hAnsi="仿宋" w:eastAsia="仿宋" w:cs="仿宋"/>
          <w:b/>
          <w:bCs/>
          <w:snapToGrid w:val="0"/>
          <w:color w:val="auto"/>
          <w:sz w:val="30"/>
          <w:szCs w:val="30"/>
        </w:rPr>
        <w:t>四、主要环境影响和保护措施</w:t>
      </w:r>
    </w:p>
    <w:tbl>
      <w:tblPr>
        <w:tblStyle w:val="3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548"/>
      </w:tblGrid>
      <w:tr w14:paraId="0827C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360" w:type="dxa"/>
            <w:tcMar>
              <w:left w:w="28" w:type="dxa"/>
              <w:right w:w="28" w:type="dxa"/>
            </w:tcMar>
            <w:vAlign w:val="center"/>
          </w:tcPr>
          <w:p w14:paraId="2D9770BE">
            <w:pPr>
              <w:pStyle w:val="28"/>
              <w:adjustRightInd w:val="0"/>
              <w:snapToGrid w:val="0"/>
              <w:spacing w:before="0" w:beforeAutospacing="0" w:after="0" w:afterAutospacing="0"/>
              <w:jc w:val="center"/>
              <w:rPr>
                <w:rFonts w:hint="eastAsia" w:ascii="仿宋" w:hAnsi="仿宋" w:eastAsia="仿宋" w:cs="仿宋"/>
                <w:bCs/>
                <w:color w:val="auto"/>
                <w:szCs w:val="21"/>
              </w:rPr>
            </w:pPr>
            <w:r>
              <w:rPr>
                <w:rFonts w:hint="eastAsia" w:ascii="仿宋" w:hAnsi="仿宋" w:eastAsia="仿宋" w:cs="仿宋"/>
                <w:color w:val="auto"/>
                <w:kern w:val="2"/>
                <w:sz w:val="24"/>
                <w:szCs w:val="24"/>
              </w:rPr>
              <w:t>施工期环境保护措施</w:t>
            </w:r>
          </w:p>
        </w:tc>
        <w:tc>
          <w:tcPr>
            <w:tcW w:w="8548" w:type="dxa"/>
            <w:vAlign w:val="center"/>
          </w:tcPr>
          <w:p w14:paraId="26CEE7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pacing w:val="-10"/>
                <w:szCs w:val="21"/>
              </w:rPr>
            </w:pPr>
            <w:r>
              <w:rPr>
                <w:rFonts w:hint="eastAsia" w:ascii="仿宋" w:hAnsi="仿宋" w:eastAsia="仿宋" w:cs="仿宋"/>
                <w:color w:val="auto"/>
                <w:kern w:val="0"/>
                <w:sz w:val="24"/>
                <w:lang w:bidi="ar"/>
              </w:rPr>
              <w:t>本项目建设所需厂房为园区已建厂房，施工期主要进行设备安装及调试，施工期时间较短，影响较小，故本次评价不予分析。</w:t>
            </w:r>
          </w:p>
        </w:tc>
      </w:tr>
      <w:tr w14:paraId="775D2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60" w:type="dxa"/>
            <w:tcMar>
              <w:left w:w="28" w:type="dxa"/>
              <w:right w:w="28" w:type="dxa"/>
            </w:tcMar>
            <w:vAlign w:val="center"/>
          </w:tcPr>
          <w:p w14:paraId="08B0789A">
            <w:pPr>
              <w:adjustRightInd w:val="0"/>
              <w:snapToGrid w:val="0"/>
              <w:jc w:val="center"/>
              <w:rPr>
                <w:rFonts w:hint="eastAsia" w:ascii="仿宋" w:hAnsi="仿宋" w:eastAsia="仿宋" w:cs="仿宋"/>
                <w:color w:val="auto"/>
                <w:kern w:val="2"/>
                <w:sz w:val="24"/>
                <w:szCs w:val="24"/>
              </w:rPr>
            </w:pPr>
            <w:r>
              <w:rPr>
                <w:rFonts w:hint="eastAsia" w:ascii="仿宋" w:hAnsi="仿宋" w:eastAsia="仿宋" w:cs="仿宋"/>
                <w:bCs/>
                <w:color w:val="auto"/>
                <w:sz w:val="24"/>
                <w:szCs w:val="24"/>
              </w:rPr>
              <w:t>运营期环境影响和保护措施</w:t>
            </w:r>
          </w:p>
        </w:tc>
        <w:tc>
          <w:tcPr>
            <w:tcW w:w="8548" w:type="dxa"/>
            <w:vAlign w:val="center"/>
          </w:tcPr>
          <w:p w14:paraId="36BD605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一</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废气</w:t>
            </w:r>
          </w:p>
          <w:p w14:paraId="7C1AFC01">
            <w:pPr>
              <w:pStyle w:val="136"/>
              <w:keepNext w:val="0"/>
              <w:keepLines w:val="0"/>
              <w:pageBreakBefore w:val="0"/>
              <w:wordWrap/>
              <w:overflowPunct/>
              <w:topLinePunct w:val="0"/>
              <w:bidi w:val="0"/>
              <w:spacing w:line="360" w:lineRule="auto"/>
              <w:ind w:left="0" w:firstLine="470" w:firstLineChars="200"/>
              <w:rPr>
                <w:rFonts w:hint="eastAsia" w:ascii="仿宋" w:hAnsi="仿宋" w:eastAsia="仿宋" w:cs="仿宋"/>
                <w:b/>
                <w:bCs/>
                <w:spacing w:val="-3"/>
                <w:sz w:val="24"/>
                <w:szCs w:val="24"/>
              </w:rPr>
            </w:pPr>
            <w:r>
              <w:rPr>
                <w:rFonts w:hint="eastAsia" w:ascii="仿宋" w:hAnsi="仿宋" w:eastAsia="仿宋" w:cs="仿宋"/>
                <w:b/>
                <w:bCs/>
                <w:spacing w:val="-3"/>
                <w:sz w:val="24"/>
                <w:szCs w:val="24"/>
                <w:lang w:eastAsia="zh-CN"/>
              </w:rPr>
              <w:t>（</w:t>
            </w:r>
            <w:r>
              <w:rPr>
                <w:rFonts w:hint="eastAsia" w:ascii="仿宋" w:hAnsi="仿宋" w:eastAsia="仿宋" w:cs="仿宋"/>
                <w:b/>
                <w:bCs/>
                <w:spacing w:val="-3"/>
                <w:sz w:val="24"/>
                <w:szCs w:val="24"/>
                <w:lang w:val="en-US" w:eastAsia="zh-CN"/>
              </w:rPr>
              <w:t>1</w:t>
            </w:r>
            <w:r>
              <w:rPr>
                <w:rFonts w:hint="eastAsia" w:ascii="仿宋" w:hAnsi="仿宋" w:eastAsia="仿宋" w:cs="仿宋"/>
                <w:b/>
                <w:bCs/>
                <w:spacing w:val="-3"/>
                <w:sz w:val="24"/>
                <w:szCs w:val="24"/>
                <w:lang w:eastAsia="zh-CN"/>
              </w:rPr>
              <w:t>）</w:t>
            </w:r>
            <w:r>
              <w:rPr>
                <w:rFonts w:hint="eastAsia" w:ascii="仿宋" w:hAnsi="仿宋" w:eastAsia="仿宋" w:cs="仿宋"/>
                <w:b/>
                <w:bCs/>
                <w:spacing w:val="-3"/>
                <w:sz w:val="24"/>
                <w:szCs w:val="24"/>
              </w:rPr>
              <w:t>产排污环节</w:t>
            </w:r>
          </w:p>
          <w:p w14:paraId="531F4481">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根据第二章分析，本项目产生的废气主要为</w:t>
            </w:r>
            <w:r>
              <w:rPr>
                <w:rFonts w:hint="eastAsia" w:ascii="仿宋" w:hAnsi="仿宋" w:eastAsia="仿宋" w:cs="仿宋"/>
                <w:sz w:val="24"/>
                <w:szCs w:val="24"/>
                <w:lang w:eastAsia="zh-CN"/>
              </w:rPr>
              <w:t>加料废气</w:t>
            </w:r>
            <w:r>
              <w:rPr>
                <w:rFonts w:hint="eastAsia" w:ascii="仿宋" w:hAnsi="仿宋" w:eastAsia="仿宋" w:cs="仿宋"/>
                <w:sz w:val="24"/>
                <w:szCs w:val="24"/>
              </w:rPr>
              <w:t>、</w:t>
            </w:r>
            <w:r>
              <w:rPr>
                <w:rFonts w:hint="eastAsia" w:ascii="仿宋" w:hAnsi="仿宋" w:eastAsia="仿宋" w:cs="仿宋"/>
                <w:sz w:val="24"/>
                <w:szCs w:val="24"/>
                <w:lang w:eastAsia="zh-CN"/>
              </w:rPr>
              <w:t>发酵废气、</w:t>
            </w:r>
            <w:r>
              <w:rPr>
                <w:rFonts w:hint="eastAsia" w:ascii="仿宋" w:hAnsi="仿宋" w:eastAsia="仿宋" w:cs="仿宋"/>
                <w:sz w:val="24"/>
                <w:szCs w:val="24"/>
              </w:rPr>
              <w:t>筛分破碎</w:t>
            </w:r>
            <w:r>
              <w:rPr>
                <w:rFonts w:hint="eastAsia" w:ascii="仿宋" w:hAnsi="仿宋" w:eastAsia="仿宋" w:cs="仿宋"/>
                <w:sz w:val="24"/>
                <w:szCs w:val="24"/>
                <w:lang w:eastAsia="zh-CN"/>
              </w:rPr>
              <w:t>废气</w:t>
            </w:r>
            <w:r>
              <w:rPr>
                <w:rFonts w:hint="eastAsia" w:ascii="仿宋" w:hAnsi="仿宋" w:eastAsia="仿宋" w:cs="仿宋"/>
                <w:sz w:val="24"/>
                <w:szCs w:val="24"/>
              </w:rPr>
              <w:t>、</w:t>
            </w:r>
            <w:r>
              <w:rPr>
                <w:rFonts w:hint="eastAsia" w:ascii="仿宋" w:hAnsi="仿宋" w:eastAsia="仿宋" w:cs="仿宋"/>
                <w:sz w:val="24"/>
                <w:szCs w:val="24"/>
                <w:lang w:eastAsia="zh-CN"/>
              </w:rPr>
              <w:t>污泥暂存废气</w:t>
            </w:r>
            <w:r>
              <w:rPr>
                <w:rFonts w:hint="eastAsia" w:ascii="仿宋" w:hAnsi="仿宋" w:eastAsia="仿宋" w:cs="仿宋"/>
                <w:sz w:val="24"/>
                <w:szCs w:val="24"/>
              </w:rPr>
              <w:t>。包装工序粉尘产生量极少，本环评不作定量分析。</w:t>
            </w:r>
          </w:p>
          <w:p w14:paraId="31431272">
            <w:pPr>
              <w:pStyle w:val="136"/>
              <w:keepNext w:val="0"/>
              <w:keepLines w:val="0"/>
              <w:pageBreakBefore w:val="0"/>
              <w:wordWrap/>
              <w:overflowPunct/>
              <w:topLinePunct w:val="0"/>
              <w:bidi w:val="0"/>
              <w:spacing w:line="360" w:lineRule="auto"/>
              <w:ind w:left="0" w:firstLine="470" w:firstLineChars="200"/>
              <w:rPr>
                <w:rFonts w:hint="eastAsia" w:ascii="仿宋" w:hAnsi="仿宋" w:eastAsia="仿宋" w:cs="仿宋"/>
                <w:sz w:val="24"/>
                <w:szCs w:val="24"/>
              </w:rPr>
            </w:pPr>
            <w:r>
              <w:rPr>
                <w:rFonts w:hint="eastAsia" w:ascii="仿宋" w:hAnsi="仿宋" w:eastAsia="仿宋" w:cs="仿宋"/>
                <w:b/>
                <w:bCs/>
                <w:spacing w:val="-3"/>
                <w:sz w:val="24"/>
                <w:szCs w:val="24"/>
              </w:rPr>
              <w:t>（2）废气污染源强分析</w:t>
            </w:r>
          </w:p>
          <w:p w14:paraId="0397A946">
            <w:pPr>
              <w:pStyle w:val="136"/>
              <w:keepNext w:val="0"/>
              <w:keepLines w:val="0"/>
              <w:pageBreakBefore w:val="0"/>
              <w:wordWrap/>
              <w:overflowPunct/>
              <w:topLinePunct w:val="0"/>
              <w:bidi w:val="0"/>
              <w:spacing w:line="360"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根据分析，本项目废气污染源源强核算结果及相关参数详见表4-</w:t>
            </w:r>
            <w:r>
              <w:rPr>
                <w:rFonts w:hint="eastAsia" w:ascii="仿宋" w:hAnsi="仿宋" w:eastAsia="仿宋" w:cs="仿宋"/>
                <w:sz w:val="24"/>
                <w:szCs w:val="24"/>
                <w:lang w:val="en-US" w:eastAsia="zh-CN"/>
              </w:rPr>
              <w:t>1</w:t>
            </w:r>
            <w:r>
              <w:rPr>
                <w:rFonts w:hint="eastAsia" w:ascii="仿宋" w:hAnsi="仿宋" w:eastAsia="仿宋" w:cs="仿宋"/>
                <w:sz w:val="24"/>
                <w:szCs w:val="24"/>
              </w:rPr>
              <w:t>，具体核算过程</w:t>
            </w:r>
            <w:r>
              <w:rPr>
                <w:rFonts w:hint="eastAsia" w:ascii="仿宋" w:hAnsi="仿宋" w:eastAsia="仿宋" w:cs="仿宋"/>
                <w:spacing w:val="-1"/>
                <w:sz w:val="24"/>
                <w:szCs w:val="24"/>
              </w:rPr>
              <w:t>如下。</w:t>
            </w:r>
          </w:p>
          <w:p w14:paraId="693CC5CA">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leftChars="0" w:firstLine="462" w:firstLineChars="200"/>
              <w:jc w:val="both"/>
              <w:textAlignment w:val="auto"/>
              <w:rPr>
                <w:rFonts w:hint="eastAsia" w:ascii="仿宋" w:hAnsi="仿宋" w:eastAsia="仿宋" w:cs="仿宋"/>
                <w:b/>
                <w:bCs/>
                <w:spacing w:val="-5"/>
                <w:sz w:val="24"/>
                <w:szCs w:val="24"/>
              </w:rPr>
            </w:pPr>
            <w:r>
              <w:rPr>
                <w:rFonts w:hint="eastAsia" w:ascii="仿宋" w:hAnsi="仿宋" w:eastAsia="仿宋" w:cs="仿宋"/>
                <w:b/>
                <w:bCs/>
                <w:spacing w:val="-5"/>
                <w:sz w:val="24"/>
                <w:szCs w:val="24"/>
              </w:rPr>
              <w:t>正常工况下源强核算过程简述：</w:t>
            </w:r>
          </w:p>
          <w:p w14:paraId="6EFD167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eastAsia" w:ascii="仿宋" w:hAnsi="仿宋" w:eastAsia="仿宋" w:cs="仿宋"/>
                <w:b w:val="0"/>
                <w:bCs w:val="0"/>
                <w:spacing w:val="-5"/>
                <w:sz w:val="24"/>
                <w:szCs w:val="24"/>
                <w:lang w:eastAsia="zh-CN"/>
              </w:rPr>
            </w:pPr>
            <w:r>
              <w:rPr>
                <w:rFonts w:hint="eastAsia" w:ascii="仿宋" w:hAnsi="仿宋" w:eastAsia="仿宋" w:cs="仿宋"/>
                <w:b w:val="0"/>
                <w:bCs w:val="0"/>
                <w:spacing w:val="-5"/>
                <w:sz w:val="24"/>
                <w:szCs w:val="24"/>
                <w:lang w:eastAsia="zh-CN"/>
              </w:rPr>
              <w:t>①加料废气</w:t>
            </w:r>
          </w:p>
          <w:p w14:paraId="69568FB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b w:val="0"/>
                <w:bCs w:val="0"/>
                <w:spacing w:val="-5"/>
                <w:sz w:val="24"/>
                <w:szCs w:val="24"/>
                <w:lang w:eastAsia="zh-CN"/>
              </w:rPr>
            </w:pPr>
            <w:r>
              <w:rPr>
                <w:rFonts w:hint="eastAsia" w:ascii="仿宋" w:hAnsi="仿宋" w:eastAsia="仿宋" w:cs="仿宋"/>
                <w:sz w:val="24"/>
                <w:szCs w:val="24"/>
              </w:rPr>
              <w:t>参照《排放源统计调查产排污核算方法和系数手册》中的“2625有机肥料及微生物</w:t>
            </w:r>
            <w:r>
              <w:rPr>
                <w:rFonts w:hint="eastAsia" w:ascii="仿宋" w:hAnsi="仿宋" w:eastAsia="仿宋" w:cs="仿宋"/>
                <w:spacing w:val="1"/>
                <w:sz w:val="24"/>
                <w:szCs w:val="24"/>
              </w:rPr>
              <w:t>肥料制造行业系数手册”，罐式发酵前、后处理颗粒物产污系数为0.370</w:t>
            </w:r>
            <w:r>
              <w:rPr>
                <w:rFonts w:hint="eastAsia" w:ascii="仿宋" w:hAnsi="仿宋" w:eastAsia="仿宋" w:cs="仿宋"/>
                <w:sz w:val="24"/>
                <w:szCs w:val="24"/>
              </w:rPr>
              <w:t>kg</w:t>
            </w:r>
            <w:r>
              <w:rPr>
                <w:rFonts w:hint="eastAsia" w:ascii="仿宋" w:hAnsi="仿宋" w:eastAsia="仿宋" w:cs="仿宋"/>
                <w:spacing w:val="1"/>
                <w:sz w:val="24"/>
                <w:szCs w:val="24"/>
              </w:rPr>
              <w:t>/t</w:t>
            </w:r>
            <w:r>
              <w:rPr>
                <w:rFonts w:hint="eastAsia" w:ascii="仿宋" w:hAnsi="仿宋" w:eastAsia="仿宋" w:cs="仿宋"/>
                <w:spacing w:val="1"/>
                <w:sz w:val="24"/>
                <w:szCs w:val="24"/>
                <w:lang w:val="en-US" w:eastAsia="zh-CN"/>
              </w:rPr>
              <w:t>-</w:t>
            </w:r>
            <w:r>
              <w:rPr>
                <w:rFonts w:hint="eastAsia" w:ascii="仿宋" w:hAnsi="仿宋" w:eastAsia="仿宋" w:cs="仿宋"/>
                <w:spacing w:val="1"/>
                <w:sz w:val="24"/>
                <w:szCs w:val="24"/>
              </w:rPr>
              <w:t>产品。由于</w:t>
            </w:r>
            <w:r>
              <w:rPr>
                <w:rFonts w:hint="eastAsia" w:ascii="仿宋" w:hAnsi="仿宋" w:eastAsia="仿宋" w:cs="仿宋"/>
                <w:sz w:val="24"/>
                <w:szCs w:val="24"/>
              </w:rPr>
              <w:t>前处</w:t>
            </w:r>
            <w:r>
              <w:rPr>
                <w:rFonts w:hint="eastAsia" w:ascii="仿宋" w:hAnsi="仿宋" w:eastAsia="仿宋" w:cs="仿宋"/>
                <w:spacing w:val="-2"/>
                <w:sz w:val="24"/>
                <w:szCs w:val="24"/>
              </w:rPr>
              <w:t>理过程原料含水率较大，粉尘产生量相对后处理工序应远远偏小，本环评按总产生量的10%计算该工段粉尘，即粉尘产生系数取0.037kg/t产品，对应的产品产量</w:t>
            </w:r>
            <w:r>
              <w:rPr>
                <w:rFonts w:hint="eastAsia" w:ascii="仿宋" w:hAnsi="仿宋" w:eastAsia="仿宋" w:cs="仿宋"/>
                <w:spacing w:val="-2"/>
                <w:sz w:val="24"/>
                <w:szCs w:val="24"/>
                <w:lang w:eastAsia="zh-CN"/>
              </w:rPr>
              <w:t>以</w:t>
            </w: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0000t/</w:t>
            </w:r>
            <w:r>
              <w:rPr>
                <w:rFonts w:hint="eastAsia" w:ascii="仿宋" w:hAnsi="仿宋" w:eastAsia="仿宋" w:cs="仿宋"/>
                <w:spacing w:val="-3"/>
                <w:sz w:val="24"/>
                <w:szCs w:val="24"/>
              </w:rPr>
              <w:t>a计</w:t>
            </w:r>
            <w:r>
              <w:rPr>
                <w:rFonts w:hint="eastAsia" w:ascii="仿宋" w:hAnsi="仿宋" w:eastAsia="仿宋" w:cs="仿宋"/>
                <w:spacing w:val="-3"/>
                <w:sz w:val="24"/>
                <w:szCs w:val="24"/>
                <w:lang w:eastAsia="zh-CN"/>
              </w:rPr>
              <w:t>，则粉尘产生量为</w:t>
            </w:r>
            <w:r>
              <w:rPr>
                <w:rFonts w:hint="eastAsia" w:ascii="仿宋" w:hAnsi="仿宋" w:eastAsia="仿宋" w:cs="仿宋"/>
                <w:spacing w:val="-3"/>
                <w:sz w:val="24"/>
                <w:szCs w:val="24"/>
                <w:lang w:val="en-US" w:eastAsia="zh-CN"/>
              </w:rPr>
              <w:t>3.7t/a，在加料口设置集气罩，加料废气经集气罩（加装皮帘）收集后通过布袋除尘器处理，最终经一根15m高排气筒（DA001）排放，收集效率按照90%，处理效率为99%</w:t>
            </w:r>
            <w:r>
              <w:rPr>
                <w:rFonts w:hint="eastAsia" w:ascii="仿宋" w:hAnsi="仿宋" w:eastAsia="仿宋" w:cs="仿宋"/>
                <w:spacing w:val="-3"/>
                <w:sz w:val="24"/>
                <w:szCs w:val="24"/>
              </w:rPr>
              <w:t>。</w:t>
            </w:r>
          </w:p>
          <w:p w14:paraId="6D3A241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68" w:firstLineChars="200"/>
              <w:jc w:val="both"/>
              <w:textAlignment w:val="auto"/>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集气罩风量参照《注册环保工程师专业复习教材》（第四版）中顶吸罩公式</w:t>
            </w:r>
            <w:r>
              <w:rPr>
                <w:rFonts w:hint="eastAsia" w:ascii="仿宋" w:hAnsi="仿宋" w:eastAsia="仿宋" w:cs="仿宋"/>
                <w:i/>
                <w:iCs/>
                <w:spacing w:val="-3"/>
                <w:sz w:val="24"/>
                <w:szCs w:val="24"/>
                <w:lang w:val="en-US" w:eastAsia="zh-CN"/>
              </w:rPr>
              <w:t>Q=1.4RHVx</w:t>
            </w:r>
            <w:r>
              <w:rPr>
                <w:rFonts w:hint="eastAsia" w:ascii="仿宋" w:hAnsi="仿宋" w:eastAsia="仿宋" w:cs="仿宋"/>
                <w:spacing w:val="-3"/>
                <w:sz w:val="24"/>
                <w:szCs w:val="24"/>
                <w:lang w:val="en-US" w:eastAsia="zh-CN"/>
              </w:rPr>
              <w:t>计算约1008m³/h·个（式中R为罩口的敞开面周长，取2m；H为罩口至污染源的距离，取0.2m；Vx为控制风速，取0.5m/s），本项目共三台高温发酵机，则加料废气集气罩风量为3024m³/h。</w:t>
            </w:r>
          </w:p>
          <w:p w14:paraId="30B640E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default" w:ascii="仿宋" w:hAnsi="仿宋" w:eastAsia="仿宋" w:cs="仿宋"/>
                <w:b w:val="0"/>
                <w:bCs w:val="0"/>
                <w:spacing w:val="-5"/>
                <w:sz w:val="24"/>
                <w:szCs w:val="24"/>
                <w:lang w:val="en-US" w:eastAsia="zh-CN"/>
              </w:rPr>
            </w:pPr>
            <w:r>
              <w:rPr>
                <w:rFonts w:hint="eastAsia" w:ascii="仿宋" w:hAnsi="仿宋" w:eastAsia="仿宋" w:cs="仿宋"/>
                <w:b w:val="0"/>
                <w:bCs w:val="0"/>
                <w:spacing w:val="-5"/>
                <w:sz w:val="24"/>
                <w:szCs w:val="24"/>
                <w:lang w:eastAsia="zh-CN"/>
              </w:rPr>
              <w:t>②</w:t>
            </w:r>
            <w:r>
              <w:rPr>
                <w:rFonts w:hint="eastAsia" w:ascii="仿宋" w:hAnsi="仿宋" w:eastAsia="仿宋" w:cs="仿宋"/>
                <w:sz w:val="24"/>
                <w:szCs w:val="24"/>
                <w:lang w:eastAsia="zh-CN"/>
              </w:rPr>
              <w:t>发酵废气</w:t>
            </w:r>
          </w:p>
          <w:p w14:paraId="3866BB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本项目产生的恶臭污染物主要在高温发酵工序，参考文献《除臭菌株NH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和H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S释放及物质转化的影响》（农业环境科学学报，2011年第3期30卷，P585-590)，不投加除臭菌剂的有机肥发酵过程日最大排放系数为NH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：0.68(g/kg·干产品）、H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S：170(mg/kg·干产品）。目前国内有机肥厂应用除H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S菌剂来抑制H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S气体释放，已经十分普遍。根据参考文献，去除NH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和H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S的效率分别在60%和80%以上（“除臭菌株对NH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和H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释放及物质转化的影响释放及物质转化的影响”）。研究表明，堆肥过程中恶臭废气的排放速率随着时间的变化呈抛物线状，先增大后降低，堆肥第七天时堆体内的温度最高，恶臭废气排放速率也最大，本项目为罐式发酵，取堆肥过程恶臭废气排放系数最大值，即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：0.68(g/kg·干产品）、H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S：170(mg/kg·干产品），</w:t>
            </w:r>
          </w:p>
          <w:p w14:paraId="143EE2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为了降低发酵过程中恶臭气体对周围环境的不利影响，建设单位在高温发酵过程中投加NH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和H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S菌剂，去除效率保守估计分别为60%、80%计。按照上文引用文献污染源情况，计算本项目营养土发酵过程中恶臭废气NH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的日平均产污污系数为0.272(g/kg·干产品），H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S日平均产污污系数为0.034（g/kg·干产品）。</w:t>
            </w:r>
          </w:p>
          <w:p w14:paraId="7AF0E6E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pacing w:val="-3"/>
                <w:sz w:val="24"/>
                <w:szCs w:val="24"/>
                <w:lang w:val="en-US" w:eastAsia="zh-CN"/>
              </w:rPr>
            </w:pPr>
            <w:r>
              <w:rPr>
                <w:rFonts w:hint="eastAsia" w:ascii="仿宋" w:hAnsi="仿宋" w:eastAsia="仿宋" w:cs="仿宋"/>
                <w:snapToGrid w:val="0"/>
                <w:color w:val="000000"/>
                <w:kern w:val="0"/>
                <w:sz w:val="24"/>
                <w:szCs w:val="24"/>
                <w:lang w:val="en-US" w:eastAsia="zh-CN" w:bidi="ar"/>
              </w:rPr>
              <w:t>根据物料平衡，其干产品量为66500t/a，则氨产生量为18.088</w:t>
            </w:r>
            <w:r>
              <w:rPr>
                <w:rFonts w:hint="eastAsia" w:ascii="仿宋" w:hAnsi="仿宋" w:eastAsia="仿宋" w:cs="仿宋"/>
                <w:spacing w:val="-3"/>
                <w:sz w:val="24"/>
                <w:szCs w:val="24"/>
                <w:lang w:val="en-US" w:eastAsia="zh-CN"/>
              </w:rPr>
              <w:t>t/a，硫化氢产生量为2.261t/a。</w:t>
            </w:r>
          </w:p>
          <w:p w14:paraId="1A81F19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每个高温发酵机运行时，为密闭状态，设备自带一台斜流增压管道风机，风机风量为1000m³/h，本项目共3台高温发酵机，则高温发酵工序风量为3000m³/h,发酵废气经设备自带风机送入生物除臭塔处理，最终经1根15m高排气筒（DA002）达标排放，废气收集效率为98%，处理效率为90%。</w:t>
            </w:r>
          </w:p>
          <w:p w14:paraId="7C23D55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eastAsia" w:ascii="仿宋" w:hAnsi="仿宋" w:eastAsia="仿宋" w:cs="仿宋"/>
                <w:b w:val="0"/>
                <w:bCs w:val="0"/>
                <w:spacing w:val="-5"/>
                <w:sz w:val="24"/>
                <w:szCs w:val="24"/>
                <w:lang w:eastAsia="zh-CN"/>
              </w:rPr>
            </w:pPr>
            <w:r>
              <w:rPr>
                <w:rFonts w:hint="eastAsia" w:ascii="仿宋" w:hAnsi="仿宋" w:eastAsia="仿宋" w:cs="仿宋"/>
                <w:b w:val="0"/>
                <w:bCs w:val="0"/>
                <w:spacing w:val="-5"/>
                <w:sz w:val="24"/>
                <w:szCs w:val="24"/>
                <w:lang w:eastAsia="zh-CN"/>
              </w:rPr>
              <w:t>③</w:t>
            </w:r>
            <w:r>
              <w:rPr>
                <w:rFonts w:hint="eastAsia" w:ascii="仿宋" w:hAnsi="仿宋" w:eastAsia="仿宋" w:cs="仿宋"/>
                <w:sz w:val="24"/>
                <w:szCs w:val="24"/>
              </w:rPr>
              <w:t>筛分破碎</w:t>
            </w:r>
            <w:r>
              <w:rPr>
                <w:rFonts w:hint="eastAsia" w:ascii="仿宋" w:hAnsi="仿宋" w:eastAsia="仿宋" w:cs="仿宋"/>
                <w:sz w:val="24"/>
                <w:szCs w:val="24"/>
                <w:lang w:eastAsia="zh-CN"/>
              </w:rPr>
              <w:t>废气</w:t>
            </w:r>
          </w:p>
          <w:p w14:paraId="731A31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b w:val="0"/>
                <w:bCs w:val="0"/>
                <w:spacing w:val="-5"/>
                <w:sz w:val="24"/>
                <w:szCs w:val="24"/>
                <w:lang w:eastAsia="zh-CN"/>
              </w:rPr>
            </w:pPr>
            <w:r>
              <w:rPr>
                <w:rFonts w:hint="eastAsia" w:ascii="仿宋" w:hAnsi="仿宋" w:eastAsia="仿宋" w:cs="仿宋"/>
                <w:snapToGrid w:val="0"/>
                <w:color w:val="000000"/>
                <w:kern w:val="0"/>
                <w:sz w:val="24"/>
                <w:szCs w:val="24"/>
                <w:lang w:val="en-US" w:eastAsia="zh-CN" w:bidi="ar"/>
              </w:rPr>
              <w:t>参照《排放源统计调查产排污核算方法和系数手册》中的“2625有机肥料及微生物肥料制造行业系数手册”，罐式发酵前、后处理颗粒物产污系数为0.370kg/t产品，其中10%已计入前处理工序，其余90%计入后处理工序（即破碎筛分工序），则该工序粉尘产生系数取0.333kg/t产品，该系数对应的产品产量按100000t/a计，</w:t>
            </w:r>
            <w:r>
              <w:rPr>
                <w:rFonts w:hint="eastAsia" w:ascii="仿宋" w:hAnsi="仿宋" w:eastAsia="仿宋" w:cs="仿宋"/>
                <w:spacing w:val="-3"/>
                <w:sz w:val="24"/>
                <w:szCs w:val="24"/>
                <w:lang w:eastAsia="zh-CN"/>
              </w:rPr>
              <w:t>则粉尘产生量为</w:t>
            </w:r>
            <w:r>
              <w:rPr>
                <w:rFonts w:hint="eastAsia" w:ascii="仿宋" w:hAnsi="仿宋" w:eastAsia="仿宋" w:cs="仿宋"/>
                <w:spacing w:val="-3"/>
                <w:sz w:val="24"/>
                <w:szCs w:val="24"/>
                <w:lang w:val="en-US" w:eastAsia="zh-CN"/>
              </w:rPr>
              <w:t>33.3t/a，在筛分机、破碎机上方设置集气罩，</w:t>
            </w:r>
            <w:r>
              <w:rPr>
                <w:rFonts w:hint="eastAsia" w:ascii="仿宋" w:hAnsi="仿宋" w:eastAsia="仿宋" w:cs="仿宋"/>
                <w:sz w:val="24"/>
                <w:szCs w:val="24"/>
              </w:rPr>
              <w:t>筛分破碎</w:t>
            </w:r>
            <w:r>
              <w:rPr>
                <w:rFonts w:hint="eastAsia" w:ascii="仿宋" w:hAnsi="仿宋" w:eastAsia="仿宋" w:cs="仿宋"/>
                <w:sz w:val="24"/>
                <w:szCs w:val="24"/>
                <w:lang w:eastAsia="zh-CN"/>
              </w:rPr>
              <w:t>废气</w:t>
            </w:r>
            <w:r>
              <w:rPr>
                <w:rFonts w:hint="eastAsia" w:ascii="仿宋" w:hAnsi="仿宋" w:eastAsia="仿宋" w:cs="仿宋"/>
                <w:spacing w:val="-3"/>
                <w:sz w:val="24"/>
                <w:szCs w:val="24"/>
                <w:lang w:val="en-US" w:eastAsia="zh-CN"/>
              </w:rPr>
              <w:t>经集气罩（加装皮帘）收集后与加料废气汇总通过布袋除尘器处理，最终经一根15m高排气筒（DA001）排放，收集效率按照90%，处理效率为99%</w:t>
            </w:r>
            <w:r>
              <w:rPr>
                <w:rFonts w:hint="eastAsia" w:ascii="仿宋" w:hAnsi="仿宋" w:eastAsia="仿宋" w:cs="仿宋"/>
                <w:spacing w:val="-3"/>
                <w:sz w:val="24"/>
                <w:szCs w:val="24"/>
              </w:rPr>
              <w:t>。</w:t>
            </w:r>
          </w:p>
          <w:p w14:paraId="0DCC4C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集气罩风量参照《注册环保工程师专业复习教材》（第四版）中顶吸罩公式</w:t>
            </w:r>
            <w:r>
              <w:rPr>
                <w:rFonts w:hint="eastAsia" w:ascii="仿宋" w:hAnsi="仿宋" w:eastAsia="仿宋" w:cs="仿宋"/>
                <w:i/>
                <w:iCs/>
                <w:snapToGrid w:val="0"/>
                <w:color w:val="000000"/>
                <w:kern w:val="0"/>
                <w:sz w:val="24"/>
                <w:szCs w:val="24"/>
                <w:lang w:val="en-US" w:eastAsia="zh-CN" w:bidi="ar"/>
              </w:rPr>
              <w:t>Q=1.4RHVx</w:t>
            </w:r>
            <w:r>
              <w:rPr>
                <w:rFonts w:hint="eastAsia" w:ascii="仿宋" w:hAnsi="仿宋" w:eastAsia="仿宋" w:cs="仿宋"/>
                <w:snapToGrid w:val="0"/>
                <w:color w:val="000000"/>
                <w:kern w:val="0"/>
                <w:sz w:val="24"/>
                <w:szCs w:val="24"/>
                <w:lang w:val="en-US" w:eastAsia="zh-CN" w:bidi="ar"/>
              </w:rPr>
              <w:t>计算约1612.8m³/h·个（式中R为罩口的敞开面周长，取3.2m；H为罩口至污染源的距离，取0.2m；Vx为控制风速，取0.5m/s），本项目共1台筛分机和1台破碎机，则</w:t>
            </w:r>
            <w:r>
              <w:rPr>
                <w:rFonts w:hint="eastAsia" w:ascii="仿宋" w:hAnsi="仿宋" w:eastAsia="仿宋" w:cs="仿宋"/>
                <w:sz w:val="24"/>
                <w:szCs w:val="24"/>
              </w:rPr>
              <w:t>筛分破碎</w:t>
            </w:r>
            <w:r>
              <w:rPr>
                <w:rFonts w:hint="eastAsia" w:ascii="仿宋" w:hAnsi="仿宋" w:eastAsia="仿宋" w:cs="仿宋"/>
                <w:sz w:val="24"/>
                <w:szCs w:val="24"/>
                <w:lang w:eastAsia="zh-CN"/>
              </w:rPr>
              <w:t>废气</w:t>
            </w:r>
            <w:r>
              <w:rPr>
                <w:rFonts w:hint="eastAsia" w:ascii="仿宋" w:hAnsi="仿宋" w:eastAsia="仿宋" w:cs="仿宋"/>
                <w:snapToGrid w:val="0"/>
                <w:color w:val="000000"/>
                <w:kern w:val="0"/>
                <w:sz w:val="24"/>
                <w:szCs w:val="24"/>
                <w:lang w:val="en-US" w:eastAsia="zh-CN" w:bidi="ar"/>
              </w:rPr>
              <w:t>集气罩风量为3225.6m³/h，除尘器系统总风量为6249.6m³/h，考虑到一定风量损失，风量取整为7000m³/h。</w:t>
            </w:r>
          </w:p>
          <w:p w14:paraId="47D1958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eastAsia" w:ascii="仿宋" w:hAnsi="仿宋" w:eastAsia="仿宋" w:cs="仿宋"/>
                <w:sz w:val="24"/>
                <w:szCs w:val="24"/>
                <w:lang w:eastAsia="zh-CN"/>
              </w:rPr>
            </w:pPr>
            <w:r>
              <w:rPr>
                <w:rFonts w:hint="eastAsia" w:ascii="仿宋" w:hAnsi="仿宋" w:eastAsia="仿宋" w:cs="仿宋"/>
                <w:b w:val="0"/>
                <w:bCs w:val="0"/>
                <w:spacing w:val="-5"/>
                <w:sz w:val="24"/>
                <w:szCs w:val="24"/>
                <w:lang w:eastAsia="zh-CN"/>
              </w:rPr>
              <w:t>④</w:t>
            </w:r>
            <w:r>
              <w:rPr>
                <w:rFonts w:hint="eastAsia" w:ascii="仿宋" w:hAnsi="仿宋" w:eastAsia="仿宋" w:cs="仿宋"/>
                <w:sz w:val="24"/>
                <w:szCs w:val="24"/>
                <w:lang w:eastAsia="zh-CN"/>
              </w:rPr>
              <w:t>污泥暂存废气</w:t>
            </w:r>
          </w:p>
          <w:p w14:paraId="75CF4F1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本项目营养土生产线所用原料污泥经密闭运输车运输至原料间。污泥在堆存过程会产生臭气，主要污染物为硫化氢、氨和臭气浓度。一般情况下，生活污水处理厂在废水处理过程中加入有除臭菌，污泥臭味较小。</w:t>
            </w:r>
          </w:p>
          <w:p w14:paraId="7676973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营养土生产及污泥处置行业暂未发布产排污系数。评价参考城市生活污水处理厂污泥脱水间恶臭气体源强NH</w:t>
            </w:r>
            <w:r>
              <w:rPr>
                <w:rFonts w:hint="eastAsia" w:ascii="仿宋" w:hAnsi="仿宋" w:eastAsia="仿宋" w:cs="仿宋"/>
                <w:snapToGrid w:val="0"/>
                <w:color w:val="000000"/>
                <w:kern w:val="0"/>
                <w:sz w:val="24"/>
                <w:szCs w:val="24"/>
                <w:vertAlign w:val="subscript"/>
                <w:lang w:val="en-US" w:eastAsia="zh-CN" w:bidi="ar"/>
              </w:rPr>
              <w:t>3</w:t>
            </w:r>
            <w:r>
              <w:rPr>
                <w:rFonts w:hint="eastAsia" w:ascii="仿宋" w:hAnsi="仿宋" w:eastAsia="仿宋" w:cs="仿宋"/>
                <w:snapToGrid w:val="0"/>
                <w:color w:val="000000"/>
                <w:kern w:val="0"/>
                <w:sz w:val="24"/>
                <w:szCs w:val="24"/>
                <w:lang w:val="en-US" w:eastAsia="zh-CN" w:bidi="ar"/>
              </w:rPr>
              <w:t>和H</w:t>
            </w:r>
            <w:r>
              <w:rPr>
                <w:rFonts w:hint="eastAsia" w:ascii="仿宋" w:hAnsi="仿宋" w:eastAsia="仿宋" w:cs="仿宋"/>
                <w:snapToGrid w:val="0"/>
                <w:color w:val="000000"/>
                <w:kern w:val="0"/>
                <w:sz w:val="24"/>
                <w:szCs w:val="24"/>
                <w:vertAlign w:val="subscript"/>
                <w:lang w:val="en-US" w:eastAsia="zh-CN" w:bidi="ar"/>
              </w:rPr>
              <w:t>2</w:t>
            </w:r>
            <w:r>
              <w:rPr>
                <w:rFonts w:hint="eastAsia" w:ascii="仿宋" w:hAnsi="仿宋" w:eastAsia="仿宋" w:cs="仿宋"/>
                <w:snapToGrid w:val="0"/>
                <w:color w:val="000000"/>
                <w:kern w:val="0"/>
                <w:sz w:val="24"/>
                <w:szCs w:val="24"/>
                <w:lang w:val="en-US" w:eastAsia="zh-CN" w:bidi="ar"/>
              </w:rPr>
              <w:t>S（分别为11.24mg/（h·㎡）和1.01mg/（h·㎡））进行本项目发酵臭气源强计算。</w:t>
            </w:r>
          </w:p>
          <w:p w14:paraId="3F145AF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本项目年工作时间为7920h，污泥暂存区面积为300㎡，则氨产生量=11.24×7920×300×10</w:t>
            </w:r>
            <w:r>
              <w:rPr>
                <w:rFonts w:hint="eastAsia" w:ascii="仿宋" w:hAnsi="仿宋" w:eastAsia="仿宋" w:cs="仿宋"/>
                <w:snapToGrid w:val="0"/>
                <w:color w:val="000000"/>
                <w:kern w:val="0"/>
                <w:sz w:val="24"/>
                <w:szCs w:val="24"/>
                <w:vertAlign w:val="superscript"/>
                <w:lang w:val="en-US" w:eastAsia="zh-CN" w:bidi="ar"/>
              </w:rPr>
              <w:t>-9</w:t>
            </w:r>
            <w:r>
              <w:rPr>
                <w:rFonts w:hint="eastAsia" w:ascii="仿宋" w:hAnsi="仿宋" w:eastAsia="仿宋" w:cs="仿宋"/>
                <w:snapToGrid w:val="0"/>
                <w:color w:val="000000"/>
                <w:kern w:val="0"/>
                <w:sz w:val="24"/>
                <w:szCs w:val="24"/>
                <w:lang w:val="en-US" w:eastAsia="zh-CN" w:bidi="ar"/>
              </w:rPr>
              <w:t>=0.027t/a，硫化氢产生量为0.002t/a。</w:t>
            </w:r>
          </w:p>
          <w:p w14:paraId="4D5D362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本项目污泥暂存区面积为300㎡×4m，设计为全封闭负压状态，换气次数按照10次/h，则风量为12000m³/h。污泥暂存废气经负压收集后，与高温发酵废气汇总经生物除臭塔处理，最终</w:t>
            </w:r>
            <w:r>
              <w:rPr>
                <w:rFonts w:hint="eastAsia" w:ascii="仿宋" w:hAnsi="仿宋" w:eastAsia="仿宋" w:cs="仿宋"/>
                <w:spacing w:val="-3"/>
                <w:sz w:val="24"/>
                <w:szCs w:val="24"/>
                <w:lang w:val="en-US" w:eastAsia="zh-CN"/>
              </w:rPr>
              <w:t>经1根15m高排气筒（DA002）达标排放</w:t>
            </w:r>
            <w:r>
              <w:rPr>
                <w:rFonts w:hint="eastAsia" w:ascii="仿宋" w:hAnsi="仿宋" w:eastAsia="仿宋" w:cs="仿宋"/>
                <w:snapToGrid w:val="0"/>
                <w:color w:val="000000"/>
                <w:kern w:val="0"/>
                <w:sz w:val="24"/>
                <w:szCs w:val="24"/>
                <w:lang w:val="en-US" w:eastAsia="zh-CN" w:bidi="ar"/>
              </w:rPr>
              <w:t>，废气收集效率为98%，处理效率为90%，其系统风量为3000m³/h+12000m³/h=15000m³/h。</w:t>
            </w:r>
          </w:p>
          <w:p w14:paraId="51231099">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leftChars="0" w:firstLine="462" w:firstLineChars="200"/>
              <w:jc w:val="both"/>
              <w:textAlignment w:val="auto"/>
              <w:rPr>
                <w:rFonts w:hint="eastAsia" w:ascii="仿宋" w:hAnsi="仿宋" w:eastAsia="仿宋" w:cs="仿宋"/>
                <w:b/>
                <w:bCs/>
                <w:spacing w:val="-5"/>
                <w:sz w:val="24"/>
                <w:szCs w:val="24"/>
              </w:rPr>
            </w:pPr>
            <w:r>
              <w:rPr>
                <w:rFonts w:hint="eastAsia" w:ascii="仿宋" w:hAnsi="仿宋" w:eastAsia="仿宋" w:cs="仿宋"/>
                <w:b/>
                <w:bCs/>
                <w:spacing w:val="-5"/>
                <w:sz w:val="24"/>
                <w:szCs w:val="24"/>
                <w:lang w:val="en-US" w:eastAsia="zh-CN"/>
              </w:rPr>
              <w:t xml:space="preserve">非正常工况下源强核算过程简述： </w:t>
            </w:r>
          </w:p>
          <w:p w14:paraId="0462A8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非正常工况主要考虑工艺废气，包括如下情形：情形</w:t>
            </w:r>
            <w:r>
              <w:rPr>
                <w:rFonts w:hint="default" w:ascii="仿宋" w:hAnsi="仿宋" w:eastAsia="仿宋" w:cs="仿宋"/>
                <w:snapToGrid w:val="0"/>
                <w:color w:val="000000"/>
                <w:kern w:val="0"/>
                <w:sz w:val="24"/>
                <w:szCs w:val="24"/>
                <w:lang w:val="en-US" w:eastAsia="zh-CN" w:bidi="ar"/>
              </w:rPr>
              <w:t>1</w:t>
            </w:r>
            <w:r>
              <w:rPr>
                <w:rFonts w:hint="eastAsia" w:ascii="仿宋" w:hAnsi="仿宋" w:eastAsia="仿宋" w:cs="仿宋"/>
                <w:snapToGrid w:val="0"/>
                <w:color w:val="000000"/>
                <w:kern w:val="0"/>
                <w:sz w:val="24"/>
                <w:szCs w:val="24"/>
                <w:lang w:val="en-US" w:eastAsia="zh-CN" w:bidi="ar"/>
              </w:rPr>
              <w:t>—废气净化装置未定期维护，净化效率降低，废气有组织排放量增加，本环评按降低50</w:t>
            </w:r>
            <w:r>
              <w:rPr>
                <w:rFonts w:hint="default" w:ascii="仿宋" w:hAnsi="仿宋" w:eastAsia="仿宋" w:cs="仿宋"/>
                <w:snapToGrid w:val="0"/>
                <w:color w:val="000000"/>
                <w:kern w:val="0"/>
                <w:sz w:val="24"/>
                <w:szCs w:val="24"/>
                <w:lang w:val="en-US" w:eastAsia="zh-CN" w:bidi="ar"/>
              </w:rPr>
              <w:t>%</w:t>
            </w:r>
            <w:r>
              <w:rPr>
                <w:rFonts w:hint="eastAsia" w:ascii="仿宋" w:hAnsi="仿宋" w:eastAsia="仿宋" w:cs="仿宋"/>
                <w:snapToGrid w:val="0"/>
                <w:color w:val="000000"/>
                <w:kern w:val="0"/>
                <w:sz w:val="24"/>
                <w:szCs w:val="24"/>
                <w:lang w:val="en-US" w:eastAsia="zh-CN" w:bidi="ar"/>
              </w:rPr>
              <w:t>考虑；情形</w:t>
            </w:r>
            <w:r>
              <w:rPr>
                <w:rFonts w:hint="default" w:ascii="仿宋" w:hAnsi="仿宋" w:eastAsia="仿宋" w:cs="仿宋"/>
                <w:snapToGrid w:val="0"/>
                <w:color w:val="000000"/>
                <w:kern w:val="0"/>
                <w:sz w:val="24"/>
                <w:szCs w:val="24"/>
                <w:lang w:val="en-US" w:eastAsia="zh-CN" w:bidi="ar"/>
              </w:rPr>
              <w:t>2</w:t>
            </w:r>
            <w:r>
              <w:rPr>
                <w:rFonts w:hint="eastAsia" w:ascii="仿宋" w:hAnsi="仿宋" w:eastAsia="仿宋" w:cs="仿宋"/>
                <w:snapToGrid w:val="0"/>
                <w:color w:val="000000"/>
                <w:kern w:val="0"/>
                <w:sz w:val="24"/>
                <w:szCs w:val="24"/>
                <w:lang w:val="en-US" w:eastAsia="zh-CN" w:bidi="ar"/>
              </w:rPr>
              <w:t>—废气收集装置失效或停电，废气无组织排放量显著增加。具体源强如下：</w:t>
            </w:r>
          </w:p>
          <w:p w14:paraId="059DE1D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
                <w:bCs/>
                <w:snapToGrid w:val="0"/>
                <w:color w:val="000000"/>
                <w:kern w:val="0"/>
                <w:sz w:val="24"/>
                <w:szCs w:val="24"/>
                <w:lang w:val="en-US" w:eastAsia="zh-CN" w:bidi="ar"/>
              </w:rPr>
            </w:pPr>
            <w:r>
              <w:rPr>
                <w:rFonts w:hint="default" w:ascii="仿宋" w:hAnsi="仿宋" w:eastAsia="仿宋" w:cs="仿宋"/>
                <w:b/>
                <w:bCs/>
                <w:snapToGrid w:val="0"/>
                <w:color w:val="000000"/>
                <w:kern w:val="0"/>
                <w:sz w:val="24"/>
                <w:szCs w:val="24"/>
                <w:lang w:val="en-US" w:eastAsia="zh-CN" w:bidi="ar"/>
              </w:rPr>
              <w:t>表4-</w:t>
            </w:r>
            <w:r>
              <w:rPr>
                <w:rFonts w:hint="eastAsia" w:ascii="仿宋" w:hAnsi="仿宋" w:eastAsia="仿宋" w:cs="仿宋"/>
                <w:b/>
                <w:bCs/>
                <w:snapToGrid w:val="0"/>
                <w:color w:val="000000"/>
                <w:kern w:val="0"/>
                <w:sz w:val="24"/>
                <w:szCs w:val="24"/>
                <w:lang w:val="en-US" w:eastAsia="zh-CN" w:bidi="ar"/>
              </w:rPr>
              <w:t>1</w:t>
            </w:r>
            <w:r>
              <w:rPr>
                <w:rFonts w:hint="default" w:ascii="仿宋" w:hAnsi="仿宋" w:eastAsia="仿宋" w:cs="仿宋"/>
                <w:b/>
                <w:bCs/>
                <w:snapToGrid w:val="0"/>
                <w:color w:val="000000"/>
                <w:kern w:val="0"/>
                <w:sz w:val="24"/>
                <w:szCs w:val="24"/>
                <w:lang w:val="en-US" w:eastAsia="zh-CN" w:bidi="ar"/>
              </w:rPr>
              <w:t xml:space="preserve"> 本项目非正常工况下废气污染源强汇总 单位：速率kg/h、浓度mg/</w:t>
            </w:r>
            <w:r>
              <w:rPr>
                <w:rFonts w:hint="eastAsia" w:ascii="仿宋" w:hAnsi="仿宋" w:eastAsia="仿宋" w:cs="仿宋"/>
                <w:b/>
                <w:bCs/>
                <w:snapToGrid w:val="0"/>
                <w:color w:val="000000"/>
                <w:kern w:val="0"/>
                <w:sz w:val="24"/>
                <w:szCs w:val="24"/>
                <w:lang w:val="en-US" w:eastAsia="zh-CN" w:bidi="ar"/>
              </w:rPr>
              <w:t>m³</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31"/>
              <w:gridCol w:w="1309"/>
              <w:gridCol w:w="871"/>
              <w:gridCol w:w="871"/>
              <w:gridCol w:w="724"/>
              <w:gridCol w:w="871"/>
              <w:gridCol w:w="871"/>
              <w:gridCol w:w="705"/>
              <w:gridCol w:w="705"/>
              <w:gridCol w:w="871"/>
            </w:tblGrid>
            <w:tr w14:paraId="580E34C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80" w:hRule="atLeast"/>
                <w:jc w:val="center"/>
              </w:trPr>
              <w:tc>
                <w:tcPr>
                  <w:tcW w:w="318" w:type="pct"/>
                  <w:tcBorders>
                    <w:tl2br w:val="nil"/>
                    <w:tr2bl w:val="nil"/>
                  </w:tcBorders>
                  <w:shd w:val="clear" w:color="auto" w:fill="auto"/>
                  <w:vAlign w:val="center"/>
                </w:tcPr>
                <w:p w14:paraId="300A9B1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情形</w:t>
                  </w:r>
                </w:p>
              </w:tc>
              <w:tc>
                <w:tcPr>
                  <w:tcW w:w="785" w:type="pct"/>
                  <w:tcBorders>
                    <w:tl2br w:val="nil"/>
                    <w:tr2bl w:val="nil"/>
                  </w:tcBorders>
                  <w:shd w:val="clear" w:color="auto" w:fill="auto"/>
                  <w:vAlign w:val="center"/>
                </w:tcPr>
                <w:p w14:paraId="6E2115E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污染源</w:t>
                  </w:r>
                </w:p>
              </w:tc>
              <w:tc>
                <w:tcPr>
                  <w:tcW w:w="522" w:type="pct"/>
                  <w:tcBorders>
                    <w:tl2br w:val="nil"/>
                    <w:tr2bl w:val="nil"/>
                  </w:tcBorders>
                  <w:shd w:val="clear" w:color="auto" w:fill="auto"/>
                  <w:vAlign w:val="center"/>
                </w:tcPr>
                <w:p w14:paraId="1C21F6C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发生原因</w:t>
                  </w:r>
                </w:p>
              </w:tc>
              <w:tc>
                <w:tcPr>
                  <w:tcW w:w="522" w:type="pct"/>
                  <w:tcBorders>
                    <w:tl2br w:val="nil"/>
                    <w:tr2bl w:val="nil"/>
                  </w:tcBorders>
                  <w:shd w:val="clear" w:color="auto" w:fill="auto"/>
                  <w:vAlign w:val="center"/>
                </w:tcPr>
                <w:p w14:paraId="0CA4BCB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排放形式</w:t>
                  </w:r>
                </w:p>
              </w:tc>
              <w:tc>
                <w:tcPr>
                  <w:tcW w:w="434" w:type="pct"/>
                  <w:tcBorders>
                    <w:tl2br w:val="nil"/>
                    <w:tr2bl w:val="nil"/>
                  </w:tcBorders>
                  <w:shd w:val="clear" w:color="auto" w:fill="auto"/>
                  <w:vAlign w:val="center"/>
                </w:tcPr>
                <w:p w14:paraId="68AA9A3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污染物</w:t>
                  </w:r>
                </w:p>
              </w:tc>
              <w:tc>
                <w:tcPr>
                  <w:tcW w:w="522" w:type="pct"/>
                  <w:tcBorders>
                    <w:tl2br w:val="nil"/>
                    <w:tr2bl w:val="nil"/>
                  </w:tcBorders>
                  <w:shd w:val="clear" w:color="auto" w:fill="auto"/>
                  <w:vAlign w:val="center"/>
                </w:tcPr>
                <w:p w14:paraId="3074AFC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非正常排放速率</w:t>
                  </w:r>
                </w:p>
              </w:tc>
              <w:tc>
                <w:tcPr>
                  <w:tcW w:w="522" w:type="pct"/>
                  <w:tcBorders>
                    <w:tl2br w:val="nil"/>
                    <w:tr2bl w:val="nil"/>
                  </w:tcBorders>
                  <w:shd w:val="clear" w:color="auto" w:fill="auto"/>
                  <w:vAlign w:val="center"/>
                </w:tcPr>
                <w:p w14:paraId="5B89A0D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非正常排放浓度</w:t>
                  </w:r>
                </w:p>
              </w:tc>
              <w:tc>
                <w:tcPr>
                  <w:tcW w:w="423" w:type="pct"/>
                  <w:tcBorders>
                    <w:tl2br w:val="nil"/>
                    <w:tr2bl w:val="nil"/>
                  </w:tcBorders>
                  <w:shd w:val="clear" w:color="auto" w:fill="auto"/>
                  <w:vAlign w:val="center"/>
                </w:tcPr>
                <w:p w14:paraId="46160F0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单次持续时间（h）</w:t>
                  </w:r>
                </w:p>
              </w:tc>
              <w:tc>
                <w:tcPr>
                  <w:tcW w:w="423" w:type="pct"/>
                  <w:tcBorders>
                    <w:tl2br w:val="nil"/>
                    <w:tr2bl w:val="nil"/>
                  </w:tcBorders>
                  <w:shd w:val="clear" w:color="auto" w:fill="auto"/>
                  <w:vAlign w:val="center"/>
                </w:tcPr>
                <w:p w14:paraId="2A09349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年发生频次（次）</w:t>
                  </w:r>
                </w:p>
              </w:tc>
              <w:tc>
                <w:tcPr>
                  <w:tcW w:w="522" w:type="pct"/>
                  <w:tcBorders>
                    <w:tl2br w:val="nil"/>
                    <w:tr2bl w:val="nil"/>
                  </w:tcBorders>
                  <w:shd w:val="clear" w:color="auto" w:fill="auto"/>
                  <w:vAlign w:val="center"/>
                </w:tcPr>
                <w:p w14:paraId="2651D45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snapToGrid w:val="0"/>
                      <w:color w:val="000000"/>
                      <w:kern w:val="0"/>
                      <w:sz w:val="21"/>
                      <w:szCs w:val="21"/>
                      <w:u w:val="none"/>
                      <w:lang w:val="en-US" w:eastAsia="zh-CN" w:bidi="ar"/>
                    </w:rPr>
                    <w:t>应对措施</w:t>
                  </w:r>
                </w:p>
              </w:tc>
            </w:tr>
            <w:tr w14:paraId="3801201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restart"/>
                  <w:tcBorders>
                    <w:tl2br w:val="nil"/>
                    <w:tr2bl w:val="nil"/>
                  </w:tcBorders>
                  <w:shd w:val="clear" w:color="auto" w:fill="auto"/>
                  <w:vAlign w:val="center"/>
                </w:tcPr>
                <w:p w14:paraId="3C4B28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情形1</w:t>
                  </w:r>
                </w:p>
              </w:tc>
              <w:tc>
                <w:tcPr>
                  <w:tcW w:w="785" w:type="pct"/>
                  <w:tcBorders>
                    <w:tl2br w:val="nil"/>
                    <w:tr2bl w:val="nil"/>
                  </w:tcBorders>
                  <w:shd w:val="clear" w:color="auto" w:fill="auto"/>
                  <w:vAlign w:val="center"/>
                </w:tcPr>
                <w:p w14:paraId="50319D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DA001</w:t>
                  </w:r>
                </w:p>
              </w:tc>
              <w:tc>
                <w:tcPr>
                  <w:tcW w:w="522" w:type="pct"/>
                  <w:vMerge w:val="restart"/>
                  <w:tcBorders>
                    <w:tl2br w:val="nil"/>
                    <w:tr2bl w:val="nil"/>
                  </w:tcBorders>
                  <w:shd w:val="clear" w:color="auto" w:fill="auto"/>
                  <w:vAlign w:val="center"/>
                </w:tcPr>
                <w:p w14:paraId="291204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净化装置效率降低</w:t>
                  </w:r>
                </w:p>
              </w:tc>
              <w:tc>
                <w:tcPr>
                  <w:tcW w:w="522" w:type="pct"/>
                  <w:vMerge w:val="restart"/>
                  <w:tcBorders>
                    <w:tl2br w:val="nil"/>
                    <w:tr2bl w:val="nil"/>
                  </w:tcBorders>
                  <w:shd w:val="clear" w:color="auto" w:fill="auto"/>
                  <w:vAlign w:val="center"/>
                </w:tcPr>
                <w:p w14:paraId="6C6B73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有组织</w:t>
                  </w:r>
                </w:p>
              </w:tc>
              <w:tc>
                <w:tcPr>
                  <w:tcW w:w="434" w:type="pct"/>
                  <w:tcBorders>
                    <w:tl2br w:val="nil"/>
                    <w:tr2bl w:val="nil"/>
                  </w:tcBorders>
                  <w:shd w:val="clear" w:color="auto" w:fill="auto"/>
                  <w:vAlign w:val="center"/>
                </w:tcPr>
                <w:p w14:paraId="1BC91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颗粒物</w:t>
                  </w:r>
                </w:p>
              </w:tc>
              <w:tc>
                <w:tcPr>
                  <w:tcW w:w="522" w:type="pct"/>
                  <w:tcBorders>
                    <w:tl2br w:val="nil"/>
                    <w:tr2bl w:val="nil"/>
                  </w:tcBorders>
                  <w:shd w:val="clear" w:color="auto" w:fill="auto"/>
                  <w:vAlign w:val="center"/>
                </w:tcPr>
                <w:p w14:paraId="54E425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2.102 </w:t>
                  </w:r>
                </w:p>
              </w:tc>
              <w:tc>
                <w:tcPr>
                  <w:tcW w:w="522" w:type="pct"/>
                  <w:tcBorders>
                    <w:tl2br w:val="nil"/>
                    <w:tr2bl w:val="nil"/>
                  </w:tcBorders>
                  <w:shd w:val="clear" w:color="auto" w:fill="auto"/>
                  <w:vAlign w:val="center"/>
                </w:tcPr>
                <w:p w14:paraId="4DE913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300.325 </w:t>
                  </w:r>
                </w:p>
              </w:tc>
              <w:tc>
                <w:tcPr>
                  <w:tcW w:w="423" w:type="pct"/>
                  <w:vMerge w:val="restart"/>
                  <w:tcBorders>
                    <w:tl2br w:val="nil"/>
                    <w:tr2bl w:val="nil"/>
                  </w:tcBorders>
                  <w:shd w:val="clear" w:color="auto" w:fill="auto"/>
                  <w:vAlign w:val="center"/>
                </w:tcPr>
                <w:p w14:paraId="09EB87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w:t>
                  </w:r>
                </w:p>
              </w:tc>
              <w:tc>
                <w:tcPr>
                  <w:tcW w:w="423" w:type="pct"/>
                  <w:vMerge w:val="restart"/>
                  <w:tcBorders>
                    <w:tl2br w:val="nil"/>
                    <w:tr2bl w:val="nil"/>
                  </w:tcBorders>
                  <w:shd w:val="clear" w:color="auto" w:fill="auto"/>
                  <w:vAlign w:val="center"/>
                </w:tcPr>
                <w:p w14:paraId="0D52B0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偶发</w:t>
                  </w:r>
                </w:p>
              </w:tc>
              <w:tc>
                <w:tcPr>
                  <w:tcW w:w="522" w:type="pct"/>
                  <w:vMerge w:val="restart"/>
                  <w:tcBorders>
                    <w:tl2br w:val="nil"/>
                    <w:tr2bl w:val="nil"/>
                  </w:tcBorders>
                  <w:shd w:val="clear" w:color="auto" w:fill="auto"/>
                  <w:vAlign w:val="center"/>
                </w:tcPr>
                <w:p w14:paraId="2FAC29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加强处理装置检修维护</w:t>
                  </w:r>
                </w:p>
              </w:tc>
            </w:tr>
            <w:tr w14:paraId="565FA00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continue"/>
                  <w:tcBorders>
                    <w:tl2br w:val="nil"/>
                    <w:tr2bl w:val="nil"/>
                  </w:tcBorders>
                  <w:shd w:val="clear" w:color="auto" w:fill="auto"/>
                  <w:vAlign w:val="center"/>
                </w:tcPr>
                <w:p w14:paraId="55808AD0">
                  <w:pPr>
                    <w:jc w:val="center"/>
                    <w:rPr>
                      <w:rFonts w:hint="eastAsia" w:ascii="仿宋" w:hAnsi="仿宋" w:eastAsia="仿宋" w:cs="仿宋"/>
                      <w:i w:val="0"/>
                      <w:iCs w:val="0"/>
                      <w:color w:val="000000"/>
                      <w:sz w:val="21"/>
                      <w:szCs w:val="21"/>
                      <w:u w:val="none"/>
                    </w:rPr>
                  </w:pPr>
                </w:p>
              </w:tc>
              <w:tc>
                <w:tcPr>
                  <w:tcW w:w="785" w:type="pct"/>
                  <w:vMerge w:val="restart"/>
                  <w:tcBorders>
                    <w:tl2br w:val="nil"/>
                    <w:tr2bl w:val="nil"/>
                  </w:tcBorders>
                  <w:shd w:val="clear" w:color="auto" w:fill="auto"/>
                  <w:vAlign w:val="center"/>
                </w:tcPr>
                <w:p w14:paraId="0C53D3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DA002</w:t>
                  </w:r>
                </w:p>
              </w:tc>
              <w:tc>
                <w:tcPr>
                  <w:tcW w:w="522" w:type="pct"/>
                  <w:vMerge w:val="continue"/>
                  <w:tcBorders>
                    <w:tl2br w:val="nil"/>
                    <w:tr2bl w:val="nil"/>
                  </w:tcBorders>
                  <w:shd w:val="clear" w:color="auto" w:fill="auto"/>
                  <w:vAlign w:val="center"/>
                </w:tcPr>
                <w:p w14:paraId="27DD98F4">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0C83FEA8">
                  <w:pPr>
                    <w:jc w:val="center"/>
                    <w:rPr>
                      <w:rFonts w:hint="eastAsia" w:ascii="仿宋" w:hAnsi="仿宋" w:eastAsia="仿宋" w:cs="仿宋"/>
                      <w:i w:val="0"/>
                      <w:iCs w:val="0"/>
                      <w:color w:val="000000"/>
                      <w:sz w:val="21"/>
                      <w:szCs w:val="21"/>
                      <w:u w:val="none"/>
                    </w:rPr>
                  </w:pPr>
                </w:p>
              </w:tc>
              <w:tc>
                <w:tcPr>
                  <w:tcW w:w="434" w:type="pct"/>
                  <w:tcBorders>
                    <w:tl2br w:val="nil"/>
                    <w:tr2bl w:val="nil"/>
                  </w:tcBorders>
                  <w:shd w:val="clear" w:color="auto" w:fill="auto"/>
                  <w:vAlign w:val="center"/>
                </w:tcPr>
                <w:p w14:paraId="3B74D6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H2S</w:t>
                  </w:r>
                </w:p>
              </w:tc>
              <w:tc>
                <w:tcPr>
                  <w:tcW w:w="522" w:type="pct"/>
                  <w:tcBorders>
                    <w:tl2br w:val="nil"/>
                    <w:tr2bl w:val="nil"/>
                  </w:tcBorders>
                  <w:shd w:val="clear" w:color="auto" w:fill="auto"/>
                  <w:vAlign w:val="center"/>
                </w:tcPr>
                <w:p w14:paraId="756DC3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0.140 </w:t>
                  </w:r>
                </w:p>
              </w:tc>
              <w:tc>
                <w:tcPr>
                  <w:tcW w:w="522" w:type="pct"/>
                  <w:tcBorders>
                    <w:tl2br w:val="nil"/>
                    <w:tr2bl w:val="nil"/>
                  </w:tcBorders>
                  <w:shd w:val="clear" w:color="auto" w:fill="auto"/>
                  <w:vAlign w:val="center"/>
                </w:tcPr>
                <w:p w14:paraId="0F4D3D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9.334 </w:t>
                  </w:r>
                </w:p>
              </w:tc>
              <w:tc>
                <w:tcPr>
                  <w:tcW w:w="423" w:type="pct"/>
                  <w:vMerge w:val="continue"/>
                  <w:tcBorders>
                    <w:tl2br w:val="nil"/>
                    <w:tr2bl w:val="nil"/>
                  </w:tcBorders>
                  <w:shd w:val="clear" w:color="auto" w:fill="auto"/>
                  <w:vAlign w:val="center"/>
                </w:tcPr>
                <w:p w14:paraId="2E3E9F1D">
                  <w:pPr>
                    <w:jc w:val="center"/>
                    <w:rPr>
                      <w:rFonts w:hint="eastAsia" w:ascii="仿宋" w:hAnsi="仿宋" w:eastAsia="仿宋" w:cs="仿宋"/>
                      <w:i w:val="0"/>
                      <w:iCs w:val="0"/>
                      <w:color w:val="000000"/>
                      <w:sz w:val="21"/>
                      <w:szCs w:val="21"/>
                      <w:u w:val="none"/>
                    </w:rPr>
                  </w:pPr>
                </w:p>
              </w:tc>
              <w:tc>
                <w:tcPr>
                  <w:tcW w:w="423" w:type="pct"/>
                  <w:vMerge w:val="continue"/>
                  <w:tcBorders>
                    <w:tl2br w:val="nil"/>
                    <w:tr2bl w:val="nil"/>
                  </w:tcBorders>
                  <w:shd w:val="clear" w:color="auto" w:fill="auto"/>
                  <w:vAlign w:val="center"/>
                </w:tcPr>
                <w:p w14:paraId="46BE04C6">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75B30BAE">
                  <w:pPr>
                    <w:jc w:val="center"/>
                    <w:rPr>
                      <w:rFonts w:hint="eastAsia" w:ascii="仿宋" w:hAnsi="仿宋" w:eastAsia="仿宋" w:cs="仿宋"/>
                      <w:i w:val="0"/>
                      <w:iCs w:val="0"/>
                      <w:color w:val="000000"/>
                      <w:sz w:val="21"/>
                      <w:szCs w:val="21"/>
                      <w:u w:val="none"/>
                    </w:rPr>
                  </w:pPr>
                </w:p>
              </w:tc>
            </w:tr>
            <w:tr w14:paraId="4FF390C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continue"/>
                  <w:tcBorders>
                    <w:tl2br w:val="nil"/>
                    <w:tr2bl w:val="nil"/>
                  </w:tcBorders>
                  <w:shd w:val="clear" w:color="auto" w:fill="auto"/>
                  <w:vAlign w:val="center"/>
                </w:tcPr>
                <w:p w14:paraId="48BD7841">
                  <w:pPr>
                    <w:jc w:val="center"/>
                    <w:rPr>
                      <w:rFonts w:hint="eastAsia" w:ascii="仿宋" w:hAnsi="仿宋" w:eastAsia="仿宋" w:cs="仿宋"/>
                      <w:i w:val="0"/>
                      <w:iCs w:val="0"/>
                      <w:color w:val="000000"/>
                      <w:sz w:val="21"/>
                      <w:szCs w:val="21"/>
                      <w:u w:val="none"/>
                    </w:rPr>
                  </w:pPr>
                </w:p>
              </w:tc>
              <w:tc>
                <w:tcPr>
                  <w:tcW w:w="785" w:type="pct"/>
                  <w:vMerge w:val="continue"/>
                  <w:tcBorders>
                    <w:tl2br w:val="nil"/>
                    <w:tr2bl w:val="nil"/>
                  </w:tcBorders>
                  <w:shd w:val="clear" w:color="auto" w:fill="auto"/>
                  <w:vAlign w:val="center"/>
                </w:tcPr>
                <w:p w14:paraId="1918D75D">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205048BE">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50C66E5C">
                  <w:pPr>
                    <w:jc w:val="center"/>
                    <w:rPr>
                      <w:rFonts w:hint="eastAsia" w:ascii="仿宋" w:hAnsi="仿宋" w:eastAsia="仿宋" w:cs="仿宋"/>
                      <w:i w:val="0"/>
                      <w:iCs w:val="0"/>
                      <w:color w:val="000000"/>
                      <w:sz w:val="21"/>
                      <w:szCs w:val="21"/>
                      <w:u w:val="none"/>
                    </w:rPr>
                  </w:pPr>
                </w:p>
              </w:tc>
              <w:tc>
                <w:tcPr>
                  <w:tcW w:w="434" w:type="pct"/>
                  <w:tcBorders>
                    <w:tl2br w:val="nil"/>
                    <w:tr2bl w:val="nil"/>
                  </w:tcBorders>
                  <w:shd w:val="clear" w:color="auto" w:fill="auto"/>
                  <w:vAlign w:val="center"/>
                </w:tcPr>
                <w:p w14:paraId="7FB34A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NH3</w:t>
                  </w:r>
                </w:p>
              </w:tc>
              <w:tc>
                <w:tcPr>
                  <w:tcW w:w="522" w:type="pct"/>
                  <w:tcBorders>
                    <w:tl2br w:val="nil"/>
                    <w:tr2bl w:val="nil"/>
                  </w:tcBorders>
                  <w:shd w:val="clear" w:color="auto" w:fill="auto"/>
                  <w:vAlign w:val="center"/>
                </w:tcPr>
                <w:p w14:paraId="4F66AE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1.121 </w:t>
                  </w:r>
                </w:p>
              </w:tc>
              <w:tc>
                <w:tcPr>
                  <w:tcW w:w="522" w:type="pct"/>
                  <w:tcBorders>
                    <w:tl2br w:val="nil"/>
                    <w:tr2bl w:val="nil"/>
                  </w:tcBorders>
                  <w:shd w:val="clear" w:color="auto" w:fill="auto"/>
                  <w:vAlign w:val="center"/>
                </w:tcPr>
                <w:p w14:paraId="050802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74.717 </w:t>
                  </w:r>
                </w:p>
              </w:tc>
              <w:tc>
                <w:tcPr>
                  <w:tcW w:w="423" w:type="pct"/>
                  <w:vMerge w:val="continue"/>
                  <w:tcBorders>
                    <w:tl2br w:val="nil"/>
                    <w:tr2bl w:val="nil"/>
                  </w:tcBorders>
                  <w:shd w:val="clear" w:color="auto" w:fill="auto"/>
                  <w:vAlign w:val="center"/>
                </w:tcPr>
                <w:p w14:paraId="5BDE85CF">
                  <w:pPr>
                    <w:jc w:val="center"/>
                    <w:rPr>
                      <w:rFonts w:hint="eastAsia" w:ascii="仿宋" w:hAnsi="仿宋" w:eastAsia="仿宋" w:cs="仿宋"/>
                      <w:i w:val="0"/>
                      <w:iCs w:val="0"/>
                      <w:color w:val="000000"/>
                      <w:sz w:val="21"/>
                      <w:szCs w:val="21"/>
                      <w:u w:val="none"/>
                    </w:rPr>
                  </w:pPr>
                </w:p>
              </w:tc>
              <w:tc>
                <w:tcPr>
                  <w:tcW w:w="423" w:type="pct"/>
                  <w:vMerge w:val="continue"/>
                  <w:tcBorders>
                    <w:tl2br w:val="nil"/>
                    <w:tr2bl w:val="nil"/>
                  </w:tcBorders>
                  <w:shd w:val="clear" w:color="auto" w:fill="auto"/>
                  <w:vAlign w:val="center"/>
                </w:tcPr>
                <w:p w14:paraId="69461D7F">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090A2C1A">
                  <w:pPr>
                    <w:jc w:val="center"/>
                    <w:rPr>
                      <w:rFonts w:hint="eastAsia" w:ascii="仿宋" w:hAnsi="仿宋" w:eastAsia="仿宋" w:cs="仿宋"/>
                      <w:i w:val="0"/>
                      <w:iCs w:val="0"/>
                      <w:color w:val="000000"/>
                      <w:sz w:val="21"/>
                      <w:szCs w:val="21"/>
                      <w:u w:val="none"/>
                    </w:rPr>
                  </w:pPr>
                </w:p>
              </w:tc>
            </w:tr>
            <w:tr w14:paraId="55917C0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restart"/>
                  <w:tcBorders>
                    <w:tl2br w:val="nil"/>
                    <w:tr2bl w:val="nil"/>
                  </w:tcBorders>
                  <w:shd w:val="clear" w:color="auto" w:fill="auto"/>
                  <w:vAlign w:val="center"/>
                </w:tcPr>
                <w:p w14:paraId="35C96D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情形2</w:t>
                  </w:r>
                </w:p>
              </w:tc>
              <w:tc>
                <w:tcPr>
                  <w:tcW w:w="785" w:type="pct"/>
                  <w:vMerge w:val="restart"/>
                  <w:tcBorders>
                    <w:tl2br w:val="nil"/>
                    <w:tr2bl w:val="nil"/>
                  </w:tcBorders>
                  <w:shd w:val="clear" w:color="auto" w:fill="auto"/>
                  <w:vAlign w:val="center"/>
                </w:tcPr>
                <w:p w14:paraId="3D6387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发酵、破碎筛分、加料、污泥暂存</w:t>
                  </w:r>
                </w:p>
              </w:tc>
              <w:tc>
                <w:tcPr>
                  <w:tcW w:w="522" w:type="pct"/>
                  <w:vMerge w:val="restart"/>
                  <w:tcBorders>
                    <w:tl2br w:val="nil"/>
                    <w:tr2bl w:val="nil"/>
                  </w:tcBorders>
                  <w:shd w:val="clear" w:color="auto" w:fill="auto"/>
                  <w:vAlign w:val="center"/>
                </w:tcPr>
                <w:p w14:paraId="79C7F0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风机失效</w:t>
                  </w:r>
                </w:p>
              </w:tc>
              <w:tc>
                <w:tcPr>
                  <w:tcW w:w="522" w:type="pct"/>
                  <w:vMerge w:val="restart"/>
                  <w:tcBorders>
                    <w:tl2br w:val="nil"/>
                    <w:tr2bl w:val="nil"/>
                  </w:tcBorders>
                  <w:shd w:val="clear" w:color="auto" w:fill="auto"/>
                  <w:vAlign w:val="center"/>
                </w:tcPr>
                <w:p w14:paraId="3865E5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无组织</w:t>
                  </w:r>
                </w:p>
              </w:tc>
              <w:tc>
                <w:tcPr>
                  <w:tcW w:w="434" w:type="pct"/>
                  <w:tcBorders>
                    <w:tl2br w:val="nil"/>
                    <w:tr2bl w:val="nil"/>
                  </w:tcBorders>
                  <w:shd w:val="clear" w:color="auto" w:fill="auto"/>
                  <w:vAlign w:val="center"/>
                </w:tcPr>
                <w:p w14:paraId="278149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颗粒物</w:t>
                  </w:r>
                </w:p>
              </w:tc>
              <w:tc>
                <w:tcPr>
                  <w:tcW w:w="522" w:type="pct"/>
                  <w:tcBorders>
                    <w:tl2br w:val="nil"/>
                    <w:tr2bl w:val="nil"/>
                  </w:tcBorders>
                  <w:shd w:val="clear" w:color="auto" w:fill="auto"/>
                  <w:vAlign w:val="center"/>
                </w:tcPr>
                <w:p w14:paraId="245862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4.672 </w:t>
                  </w:r>
                </w:p>
              </w:tc>
              <w:tc>
                <w:tcPr>
                  <w:tcW w:w="522" w:type="pct"/>
                  <w:tcBorders>
                    <w:tl2br w:val="nil"/>
                    <w:tr2bl w:val="nil"/>
                  </w:tcBorders>
                  <w:shd w:val="clear" w:color="auto" w:fill="auto"/>
                  <w:vAlign w:val="center"/>
                </w:tcPr>
                <w:p w14:paraId="3DC4A5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423" w:type="pct"/>
                  <w:vMerge w:val="restart"/>
                  <w:tcBorders>
                    <w:tl2br w:val="nil"/>
                    <w:tr2bl w:val="nil"/>
                  </w:tcBorders>
                  <w:shd w:val="clear" w:color="auto" w:fill="auto"/>
                  <w:vAlign w:val="center"/>
                </w:tcPr>
                <w:p w14:paraId="4D444B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w:t>
                  </w:r>
                </w:p>
              </w:tc>
              <w:tc>
                <w:tcPr>
                  <w:tcW w:w="423" w:type="pct"/>
                  <w:vMerge w:val="restart"/>
                  <w:tcBorders>
                    <w:tl2br w:val="nil"/>
                    <w:tr2bl w:val="nil"/>
                  </w:tcBorders>
                  <w:shd w:val="clear" w:color="auto" w:fill="auto"/>
                  <w:vAlign w:val="center"/>
                </w:tcPr>
                <w:p w14:paraId="09419F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偶发</w:t>
                  </w:r>
                </w:p>
              </w:tc>
              <w:tc>
                <w:tcPr>
                  <w:tcW w:w="522" w:type="pct"/>
                  <w:vMerge w:val="restart"/>
                  <w:tcBorders>
                    <w:tl2br w:val="nil"/>
                    <w:tr2bl w:val="nil"/>
                  </w:tcBorders>
                  <w:shd w:val="clear" w:color="auto" w:fill="auto"/>
                  <w:vAlign w:val="center"/>
                </w:tcPr>
                <w:p w14:paraId="49586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加强对风机的检修维护</w:t>
                  </w:r>
                </w:p>
              </w:tc>
            </w:tr>
            <w:tr w14:paraId="04C9048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continue"/>
                  <w:tcBorders>
                    <w:tl2br w:val="nil"/>
                    <w:tr2bl w:val="nil"/>
                  </w:tcBorders>
                  <w:shd w:val="clear" w:color="auto" w:fill="auto"/>
                  <w:vAlign w:val="center"/>
                </w:tcPr>
                <w:p w14:paraId="7FF937A6">
                  <w:pPr>
                    <w:jc w:val="center"/>
                    <w:rPr>
                      <w:rFonts w:hint="eastAsia" w:ascii="仿宋" w:hAnsi="仿宋" w:eastAsia="仿宋" w:cs="仿宋"/>
                      <w:i w:val="0"/>
                      <w:iCs w:val="0"/>
                      <w:color w:val="000000"/>
                      <w:sz w:val="21"/>
                      <w:szCs w:val="21"/>
                      <w:u w:val="none"/>
                    </w:rPr>
                  </w:pPr>
                </w:p>
              </w:tc>
              <w:tc>
                <w:tcPr>
                  <w:tcW w:w="785" w:type="pct"/>
                  <w:vMerge w:val="continue"/>
                  <w:tcBorders>
                    <w:tl2br w:val="nil"/>
                    <w:tr2bl w:val="nil"/>
                  </w:tcBorders>
                  <w:shd w:val="clear" w:color="auto" w:fill="auto"/>
                  <w:vAlign w:val="center"/>
                </w:tcPr>
                <w:p w14:paraId="21B97F54">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196E7943">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71EE0F8D">
                  <w:pPr>
                    <w:jc w:val="center"/>
                    <w:rPr>
                      <w:rFonts w:hint="eastAsia" w:ascii="仿宋" w:hAnsi="仿宋" w:eastAsia="仿宋" w:cs="仿宋"/>
                      <w:i w:val="0"/>
                      <w:iCs w:val="0"/>
                      <w:color w:val="000000"/>
                      <w:sz w:val="21"/>
                      <w:szCs w:val="21"/>
                      <w:u w:val="none"/>
                    </w:rPr>
                  </w:pPr>
                </w:p>
              </w:tc>
              <w:tc>
                <w:tcPr>
                  <w:tcW w:w="434" w:type="pct"/>
                  <w:tcBorders>
                    <w:tl2br w:val="nil"/>
                    <w:tr2bl w:val="nil"/>
                  </w:tcBorders>
                  <w:shd w:val="clear" w:color="auto" w:fill="auto"/>
                  <w:vAlign w:val="center"/>
                </w:tcPr>
                <w:p w14:paraId="5F4D17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H2S</w:t>
                  </w:r>
                </w:p>
              </w:tc>
              <w:tc>
                <w:tcPr>
                  <w:tcW w:w="522" w:type="pct"/>
                  <w:tcBorders>
                    <w:tl2br w:val="nil"/>
                    <w:tr2bl w:val="nil"/>
                  </w:tcBorders>
                  <w:shd w:val="clear" w:color="auto" w:fill="auto"/>
                  <w:vAlign w:val="center"/>
                </w:tcPr>
                <w:p w14:paraId="093871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0.286 </w:t>
                  </w:r>
                </w:p>
              </w:tc>
              <w:tc>
                <w:tcPr>
                  <w:tcW w:w="522" w:type="pct"/>
                  <w:tcBorders>
                    <w:tl2br w:val="nil"/>
                    <w:tr2bl w:val="nil"/>
                  </w:tcBorders>
                  <w:shd w:val="clear" w:color="auto" w:fill="auto"/>
                  <w:vAlign w:val="center"/>
                </w:tcPr>
                <w:p w14:paraId="1F82B6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423" w:type="pct"/>
                  <w:vMerge w:val="continue"/>
                  <w:tcBorders>
                    <w:tl2br w:val="nil"/>
                    <w:tr2bl w:val="nil"/>
                  </w:tcBorders>
                  <w:shd w:val="clear" w:color="auto" w:fill="auto"/>
                  <w:vAlign w:val="center"/>
                </w:tcPr>
                <w:p w14:paraId="3D87A9D5">
                  <w:pPr>
                    <w:jc w:val="center"/>
                    <w:rPr>
                      <w:rFonts w:hint="eastAsia" w:ascii="仿宋" w:hAnsi="仿宋" w:eastAsia="仿宋" w:cs="仿宋"/>
                      <w:i w:val="0"/>
                      <w:iCs w:val="0"/>
                      <w:color w:val="000000"/>
                      <w:sz w:val="21"/>
                      <w:szCs w:val="21"/>
                      <w:u w:val="none"/>
                    </w:rPr>
                  </w:pPr>
                </w:p>
              </w:tc>
              <w:tc>
                <w:tcPr>
                  <w:tcW w:w="423" w:type="pct"/>
                  <w:vMerge w:val="continue"/>
                  <w:tcBorders>
                    <w:tl2br w:val="nil"/>
                    <w:tr2bl w:val="nil"/>
                  </w:tcBorders>
                  <w:shd w:val="clear" w:color="auto" w:fill="auto"/>
                  <w:vAlign w:val="center"/>
                </w:tcPr>
                <w:p w14:paraId="49DA0757">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56FF96DC">
                  <w:pPr>
                    <w:jc w:val="center"/>
                    <w:rPr>
                      <w:rFonts w:hint="eastAsia" w:ascii="仿宋" w:hAnsi="仿宋" w:eastAsia="仿宋" w:cs="仿宋"/>
                      <w:i w:val="0"/>
                      <w:iCs w:val="0"/>
                      <w:color w:val="000000"/>
                      <w:sz w:val="21"/>
                      <w:szCs w:val="21"/>
                      <w:u w:val="none"/>
                    </w:rPr>
                  </w:pPr>
                </w:p>
              </w:tc>
            </w:tr>
            <w:tr w14:paraId="2645A5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jc w:val="center"/>
              </w:trPr>
              <w:tc>
                <w:tcPr>
                  <w:tcW w:w="318" w:type="pct"/>
                  <w:vMerge w:val="continue"/>
                  <w:tcBorders>
                    <w:tl2br w:val="nil"/>
                    <w:tr2bl w:val="nil"/>
                  </w:tcBorders>
                  <w:shd w:val="clear" w:color="auto" w:fill="auto"/>
                  <w:vAlign w:val="center"/>
                </w:tcPr>
                <w:p w14:paraId="7BD6A526">
                  <w:pPr>
                    <w:jc w:val="center"/>
                    <w:rPr>
                      <w:rFonts w:hint="eastAsia" w:ascii="仿宋" w:hAnsi="仿宋" w:eastAsia="仿宋" w:cs="仿宋"/>
                      <w:i w:val="0"/>
                      <w:iCs w:val="0"/>
                      <w:color w:val="000000"/>
                      <w:sz w:val="21"/>
                      <w:szCs w:val="21"/>
                      <w:u w:val="none"/>
                    </w:rPr>
                  </w:pPr>
                </w:p>
              </w:tc>
              <w:tc>
                <w:tcPr>
                  <w:tcW w:w="785" w:type="pct"/>
                  <w:vMerge w:val="continue"/>
                  <w:tcBorders>
                    <w:tl2br w:val="nil"/>
                    <w:tr2bl w:val="nil"/>
                  </w:tcBorders>
                  <w:shd w:val="clear" w:color="auto" w:fill="auto"/>
                  <w:vAlign w:val="center"/>
                </w:tcPr>
                <w:p w14:paraId="401214EC">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7E28203E">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6EB71D63">
                  <w:pPr>
                    <w:jc w:val="center"/>
                    <w:rPr>
                      <w:rFonts w:hint="eastAsia" w:ascii="仿宋" w:hAnsi="仿宋" w:eastAsia="仿宋" w:cs="仿宋"/>
                      <w:i w:val="0"/>
                      <w:iCs w:val="0"/>
                      <w:color w:val="000000"/>
                      <w:sz w:val="21"/>
                      <w:szCs w:val="21"/>
                      <w:u w:val="none"/>
                    </w:rPr>
                  </w:pPr>
                </w:p>
              </w:tc>
              <w:tc>
                <w:tcPr>
                  <w:tcW w:w="434" w:type="pct"/>
                  <w:tcBorders>
                    <w:tl2br w:val="nil"/>
                    <w:tr2bl w:val="nil"/>
                  </w:tcBorders>
                  <w:shd w:val="clear" w:color="auto" w:fill="auto"/>
                  <w:vAlign w:val="center"/>
                </w:tcPr>
                <w:p w14:paraId="68EC27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NH3</w:t>
                  </w:r>
                </w:p>
              </w:tc>
              <w:tc>
                <w:tcPr>
                  <w:tcW w:w="522" w:type="pct"/>
                  <w:tcBorders>
                    <w:tl2br w:val="nil"/>
                    <w:tr2bl w:val="nil"/>
                  </w:tcBorders>
                  <w:shd w:val="clear" w:color="auto" w:fill="auto"/>
                  <w:vAlign w:val="center"/>
                </w:tcPr>
                <w:p w14:paraId="395674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2.287 </w:t>
                  </w:r>
                </w:p>
              </w:tc>
              <w:tc>
                <w:tcPr>
                  <w:tcW w:w="522" w:type="pct"/>
                  <w:tcBorders>
                    <w:tl2br w:val="nil"/>
                    <w:tr2bl w:val="nil"/>
                  </w:tcBorders>
                  <w:shd w:val="clear" w:color="auto" w:fill="auto"/>
                  <w:vAlign w:val="center"/>
                </w:tcPr>
                <w:p w14:paraId="16FF1B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423" w:type="pct"/>
                  <w:vMerge w:val="continue"/>
                  <w:tcBorders>
                    <w:tl2br w:val="nil"/>
                    <w:tr2bl w:val="nil"/>
                  </w:tcBorders>
                  <w:shd w:val="clear" w:color="auto" w:fill="auto"/>
                  <w:vAlign w:val="center"/>
                </w:tcPr>
                <w:p w14:paraId="332010F1">
                  <w:pPr>
                    <w:jc w:val="center"/>
                    <w:rPr>
                      <w:rFonts w:hint="eastAsia" w:ascii="仿宋" w:hAnsi="仿宋" w:eastAsia="仿宋" w:cs="仿宋"/>
                      <w:i w:val="0"/>
                      <w:iCs w:val="0"/>
                      <w:color w:val="000000"/>
                      <w:sz w:val="21"/>
                      <w:szCs w:val="21"/>
                      <w:u w:val="none"/>
                    </w:rPr>
                  </w:pPr>
                </w:p>
              </w:tc>
              <w:tc>
                <w:tcPr>
                  <w:tcW w:w="423" w:type="pct"/>
                  <w:vMerge w:val="continue"/>
                  <w:tcBorders>
                    <w:tl2br w:val="nil"/>
                    <w:tr2bl w:val="nil"/>
                  </w:tcBorders>
                  <w:shd w:val="clear" w:color="auto" w:fill="auto"/>
                  <w:vAlign w:val="center"/>
                </w:tcPr>
                <w:p w14:paraId="323EEAF1">
                  <w:pPr>
                    <w:jc w:val="center"/>
                    <w:rPr>
                      <w:rFonts w:hint="eastAsia" w:ascii="仿宋" w:hAnsi="仿宋" w:eastAsia="仿宋" w:cs="仿宋"/>
                      <w:i w:val="0"/>
                      <w:iCs w:val="0"/>
                      <w:color w:val="000000"/>
                      <w:sz w:val="21"/>
                      <w:szCs w:val="21"/>
                      <w:u w:val="none"/>
                    </w:rPr>
                  </w:pPr>
                </w:p>
              </w:tc>
              <w:tc>
                <w:tcPr>
                  <w:tcW w:w="522" w:type="pct"/>
                  <w:vMerge w:val="continue"/>
                  <w:tcBorders>
                    <w:tl2br w:val="nil"/>
                    <w:tr2bl w:val="nil"/>
                  </w:tcBorders>
                  <w:shd w:val="clear" w:color="auto" w:fill="auto"/>
                  <w:vAlign w:val="center"/>
                </w:tcPr>
                <w:p w14:paraId="27C587B9">
                  <w:pPr>
                    <w:jc w:val="center"/>
                    <w:rPr>
                      <w:rFonts w:hint="eastAsia" w:ascii="仿宋" w:hAnsi="仿宋" w:eastAsia="仿宋" w:cs="仿宋"/>
                      <w:i w:val="0"/>
                      <w:iCs w:val="0"/>
                      <w:color w:val="000000"/>
                      <w:sz w:val="21"/>
                      <w:szCs w:val="21"/>
                      <w:u w:val="none"/>
                    </w:rPr>
                  </w:pPr>
                </w:p>
              </w:tc>
            </w:tr>
          </w:tbl>
          <w:p w14:paraId="08D5B7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由上表可知，非正常工况下，为防止生产废气非正常排放增加大气污染，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7F7C9A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①安排专人负责环保设备的日常维护和管理，每个固定时间检查、汇报情况，及时发现废气处理设备的隐患，确保废气处理系统正常运行；</w:t>
            </w:r>
          </w:p>
          <w:p w14:paraId="5DB707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②建立健全的环保管理机构，对环保管理人员和技术人员进行岗位培训，委托具有专业资质的环境检测单位对项目排放的各类污染物进行定期检测；</w:t>
            </w:r>
          </w:p>
          <w:p w14:paraId="7784F41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③安排专人负责环保设备的日常维护和管理，每隔固定时间检查、汇报情况。为防止非正常排放工况产生，应严格环保管理，建立净化装置运行台账，及时发现处理设备的隐患，保持设备净化能力，避免废气净化装置失效情况发生。</w:t>
            </w:r>
          </w:p>
          <w:p w14:paraId="08FF62B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73DC92E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2FEB68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08F8675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179D01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3E4932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35348BE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10EFED2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52633B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1E169F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仿宋" w:hAnsi="仿宋" w:eastAsia="仿宋" w:cs="仿宋"/>
                <w:color w:val="000000"/>
                <w:kern w:val="0"/>
                <w:sz w:val="24"/>
                <w:szCs w:val="24"/>
                <w:lang w:val="en-US" w:eastAsia="zh-CN" w:bidi="ar"/>
              </w:rPr>
            </w:pPr>
          </w:p>
          <w:p w14:paraId="649B1A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仿宋" w:hAnsi="仿宋" w:eastAsia="仿宋" w:cs="仿宋"/>
                <w:color w:val="000000"/>
                <w:kern w:val="0"/>
                <w:sz w:val="24"/>
                <w:szCs w:val="24"/>
                <w:lang w:val="en-US" w:eastAsia="zh-CN" w:bidi="ar"/>
              </w:rPr>
            </w:pPr>
          </w:p>
        </w:tc>
      </w:tr>
    </w:tbl>
    <w:p w14:paraId="2C105B7C">
      <w:pPr>
        <w:adjustRightInd w:val="0"/>
        <w:snapToGrid w:val="0"/>
        <w:spacing w:line="360" w:lineRule="auto"/>
        <w:rPr>
          <w:rFonts w:hint="eastAsia" w:ascii="仿宋" w:hAnsi="仿宋" w:eastAsia="仿宋" w:cs="仿宋"/>
          <w:b/>
          <w:color w:val="FF0000"/>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3E20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6" w:hRule="atLeast"/>
        </w:trPr>
        <w:tc>
          <w:tcPr>
            <w:tcW w:w="13652" w:type="dxa"/>
          </w:tcPr>
          <w:p w14:paraId="4EA1D8E7">
            <w:pPr>
              <w:pStyle w:val="28"/>
              <w:spacing w:before="0" w:beforeAutospacing="0" w:after="0" w:afterAutospacing="0"/>
              <w:jc w:val="center"/>
              <w:outlineLvl w:val="0"/>
              <w:rPr>
                <w:rFonts w:hint="eastAsia" w:ascii="仿宋" w:hAnsi="仿宋" w:eastAsia="仿宋" w:cs="仿宋"/>
                <w:b/>
                <w:bCs/>
                <w:snapToGrid w:val="0"/>
                <w:color w:val="auto"/>
                <w:sz w:val="21"/>
                <w:szCs w:val="21"/>
                <w:vertAlign w:val="baseline"/>
                <w:lang w:val="en-US" w:eastAsia="zh-CN"/>
              </w:rPr>
            </w:pPr>
            <w:r>
              <w:rPr>
                <w:rFonts w:hint="eastAsia" w:ascii="仿宋" w:hAnsi="仿宋" w:eastAsia="仿宋" w:cs="仿宋"/>
                <w:b/>
                <w:bCs/>
                <w:snapToGrid w:val="0"/>
                <w:color w:val="auto"/>
                <w:sz w:val="21"/>
                <w:szCs w:val="21"/>
                <w:vertAlign w:val="baseline"/>
                <w:lang w:val="en-US" w:eastAsia="zh-CN"/>
              </w:rPr>
              <w:t xml:space="preserve">表4-2 </w:t>
            </w:r>
            <w:r>
              <w:rPr>
                <w:rFonts w:hint="eastAsia" w:ascii="仿宋" w:hAnsi="仿宋" w:eastAsia="仿宋" w:cs="仿宋"/>
                <w:b/>
                <w:bCs/>
                <w:snapToGrid w:val="0"/>
                <w:color w:val="auto"/>
                <w:kern w:val="0"/>
                <w:sz w:val="21"/>
                <w:szCs w:val="21"/>
                <w:lang w:val="en-US" w:eastAsia="zh-CN"/>
              </w:rPr>
              <w:t>有组织</w:t>
            </w:r>
            <w:r>
              <w:rPr>
                <w:rFonts w:hint="eastAsia" w:ascii="仿宋" w:hAnsi="仿宋" w:eastAsia="仿宋" w:cs="仿宋"/>
                <w:b/>
                <w:bCs/>
                <w:snapToGrid w:val="0"/>
                <w:color w:val="auto"/>
                <w:kern w:val="0"/>
                <w:sz w:val="21"/>
                <w:szCs w:val="21"/>
              </w:rPr>
              <w:t>废气源强及排放情况</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02"/>
              <w:gridCol w:w="1015"/>
              <w:gridCol w:w="846"/>
              <w:gridCol w:w="918"/>
              <w:gridCol w:w="951"/>
              <w:gridCol w:w="811"/>
              <w:gridCol w:w="701"/>
              <w:gridCol w:w="726"/>
              <w:gridCol w:w="726"/>
              <w:gridCol w:w="741"/>
              <w:gridCol w:w="914"/>
              <w:gridCol w:w="935"/>
              <w:gridCol w:w="847"/>
              <w:gridCol w:w="917"/>
              <w:gridCol w:w="1478"/>
            </w:tblGrid>
            <w:tr w14:paraId="73204A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336" w:type="pct"/>
                  <w:vMerge w:val="restart"/>
                  <w:tcBorders>
                    <w:tl2br w:val="nil"/>
                    <w:tr2bl w:val="nil"/>
                  </w:tcBorders>
                  <w:shd w:val="clear" w:color="auto" w:fill="auto"/>
                  <w:vAlign w:val="center"/>
                </w:tcPr>
                <w:p w14:paraId="777F1EBD">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工段</w:t>
                  </w:r>
                </w:p>
              </w:tc>
              <w:tc>
                <w:tcPr>
                  <w:tcW w:w="378" w:type="pct"/>
                  <w:vMerge w:val="restart"/>
                  <w:tcBorders>
                    <w:tl2br w:val="nil"/>
                    <w:tr2bl w:val="nil"/>
                  </w:tcBorders>
                  <w:shd w:val="clear" w:color="auto" w:fill="auto"/>
                  <w:vAlign w:val="center"/>
                </w:tcPr>
                <w:p w14:paraId="12C6B8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污染物</w:t>
                  </w:r>
                </w:p>
              </w:tc>
              <w:tc>
                <w:tcPr>
                  <w:tcW w:w="1011" w:type="pct"/>
                  <w:gridSpan w:val="3"/>
                  <w:tcBorders>
                    <w:tl2br w:val="nil"/>
                    <w:tr2bl w:val="nil"/>
                  </w:tcBorders>
                  <w:shd w:val="clear" w:color="auto" w:fill="auto"/>
                  <w:vAlign w:val="center"/>
                </w:tcPr>
                <w:p w14:paraId="35147C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产生情况</w:t>
                  </w:r>
                </w:p>
              </w:tc>
              <w:tc>
                <w:tcPr>
                  <w:tcW w:w="301" w:type="pct"/>
                  <w:vMerge w:val="restart"/>
                  <w:tcBorders>
                    <w:tl2br w:val="nil"/>
                    <w:tr2bl w:val="nil"/>
                  </w:tcBorders>
                  <w:shd w:val="clear" w:color="auto" w:fill="auto"/>
                  <w:vAlign w:val="center"/>
                </w:tcPr>
                <w:p w14:paraId="163FF6FB">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风量(m³</w:t>
                  </w:r>
                  <w:r>
                    <w:rPr>
                      <w:rStyle w:val="119"/>
                      <w:b w:val="0"/>
                      <w:bCs w:val="0"/>
                      <w:sz w:val="21"/>
                      <w:szCs w:val="21"/>
                      <w:lang w:val="en-US" w:eastAsia="zh-CN" w:bidi="ar"/>
                    </w:rPr>
                    <w:t>/h)</w:t>
                  </w:r>
                </w:p>
              </w:tc>
              <w:tc>
                <w:tcPr>
                  <w:tcW w:w="261" w:type="pct"/>
                  <w:vMerge w:val="restart"/>
                  <w:tcBorders>
                    <w:tl2br w:val="nil"/>
                    <w:tr2bl w:val="nil"/>
                  </w:tcBorders>
                  <w:shd w:val="clear" w:color="auto" w:fill="auto"/>
                  <w:vAlign w:val="center"/>
                </w:tcPr>
                <w:p w14:paraId="4AA52264">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治理措施</w:t>
                  </w:r>
                </w:p>
              </w:tc>
              <w:tc>
                <w:tcPr>
                  <w:tcW w:w="270" w:type="pct"/>
                  <w:vMerge w:val="restart"/>
                  <w:tcBorders>
                    <w:tl2br w:val="nil"/>
                    <w:tr2bl w:val="nil"/>
                  </w:tcBorders>
                  <w:shd w:val="clear" w:color="auto" w:fill="auto"/>
                  <w:vAlign w:val="center"/>
                </w:tcPr>
                <w:p w14:paraId="51FC479A">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收集效率(%)</w:t>
                  </w:r>
                </w:p>
              </w:tc>
              <w:tc>
                <w:tcPr>
                  <w:tcW w:w="270" w:type="pct"/>
                  <w:vMerge w:val="restart"/>
                  <w:tcBorders>
                    <w:tl2br w:val="nil"/>
                    <w:tr2bl w:val="nil"/>
                  </w:tcBorders>
                  <w:shd w:val="clear" w:color="auto" w:fill="auto"/>
                  <w:vAlign w:val="center"/>
                </w:tcPr>
                <w:p w14:paraId="52DFA378">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处理效率(%)</w:t>
                  </w:r>
                </w:p>
              </w:tc>
              <w:tc>
                <w:tcPr>
                  <w:tcW w:w="963" w:type="pct"/>
                  <w:gridSpan w:val="3"/>
                  <w:tcBorders>
                    <w:tl2br w:val="nil"/>
                    <w:tr2bl w:val="nil"/>
                  </w:tcBorders>
                  <w:shd w:val="clear" w:color="auto" w:fill="auto"/>
                  <w:vAlign w:val="center"/>
                </w:tcPr>
                <w:p w14:paraId="1C0AA04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排放情况</w:t>
                  </w:r>
                </w:p>
              </w:tc>
              <w:tc>
                <w:tcPr>
                  <w:tcW w:w="1206" w:type="pct"/>
                  <w:gridSpan w:val="3"/>
                  <w:tcBorders>
                    <w:tl2br w:val="nil"/>
                    <w:tr2bl w:val="nil"/>
                  </w:tcBorders>
                  <w:shd w:val="clear" w:color="auto" w:fill="auto"/>
                  <w:vAlign w:val="center"/>
                </w:tcPr>
                <w:p w14:paraId="61055BF9">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执行标准</w:t>
                  </w:r>
                </w:p>
              </w:tc>
            </w:tr>
            <w:tr w14:paraId="492084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36" w:type="pct"/>
                  <w:vMerge w:val="continue"/>
                  <w:tcBorders>
                    <w:tl2br w:val="nil"/>
                    <w:tr2bl w:val="nil"/>
                  </w:tcBorders>
                  <w:shd w:val="clear" w:color="auto" w:fill="auto"/>
                  <w:vAlign w:val="center"/>
                </w:tcPr>
                <w:p w14:paraId="7B2072CA">
                  <w:pPr>
                    <w:jc w:val="center"/>
                    <w:rPr>
                      <w:rFonts w:hint="eastAsia" w:ascii="仿宋" w:hAnsi="仿宋" w:eastAsia="仿宋" w:cs="仿宋"/>
                      <w:i w:val="0"/>
                      <w:iCs w:val="0"/>
                      <w:color w:val="000000"/>
                      <w:sz w:val="21"/>
                      <w:szCs w:val="21"/>
                      <w:u w:val="none"/>
                    </w:rPr>
                  </w:pPr>
                </w:p>
              </w:tc>
              <w:tc>
                <w:tcPr>
                  <w:tcW w:w="378" w:type="pct"/>
                  <w:vMerge w:val="continue"/>
                  <w:tcBorders>
                    <w:tl2br w:val="nil"/>
                    <w:tr2bl w:val="nil"/>
                  </w:tcBorders>
                  <w:shd w:val="clear" w:color="auto" w:fill="auto"/>
                  <w:vAlign w:val="center"/>
                </w:tcPr>
                <w:p w14:paraId="33017922">
                  <w:pPr>
                    <w:jc w:val="center"/>
                    <w:rPr>
                      <w:rFonts w:hint="eastAsia" w:ascii="仿宋" w:hAnsi="仿宋" w:eastAsia="仿宋" w:cs="仿宋"/>
                      <w:i w:val="0"/>
                      <w:iCs w:val="0"/>
                      <w:color w:val="000000"/>
                      <w:sz w:val="21"/>
                      <w:szCs w:val="21"/>
                      <w:u w:val="none"/>
                    </w:rPr>
                  </w:pPr>
                </w:p>
              </w:tc>
              <w:tc>
                <w:tcPr>
                  <w:tcW w:w="315" w:type="pct"/>
                  <w:tcBorders>
                    <w:tl2br w:val="nil"/>
                    <w:tr2bl w:val="nil"/>
                  </w:tcBorders>
                  <w:shd w:val="clear" w:color="auto" w:fill="auto"/>
                  <w:vAlign w:val="center"/>
                </w:tcPr>
                <w:p w14:paraId="6B7008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产生量(t/a)</w:t>
                  </w:r>
                </w:p>
              </w:tc>
              <w:tc>
                <w:tcPr>
                  <w:tcW w:w="342" w:type="pct"/>
                  <w:tcBorders>
                    <w:tl2br w:val="nil"/>
                    <w:tr2bl w:val="nil"/>
                  </w:tcBorders>
                  <w:shd w:val="clear" w:color="auto" w:fill="auto"/>
                  <w:vAlign w:val="center"/>
                </w:tcPr>
                <w:p w14:paraId="275A26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速率(kg/h)</w:t>
                  </w:r>
                </w:p>
              </w:tc>
              <w:tc>
                <w:tcPr>
                  <w:tcW w:w="354" w:type="pct"/>
                  <w:tcBorders>
                    <w:tl2br w:val="nil"/>
                    <w:tr2bl w:val="nil"/>
                  </w:tcBorders>
                  <w:shd w:val="clear" w:color="auto" w:fill="auto"/>
                  <w:vAlign w:val="center"/>
                </w:tcPr>
                <w:p w14:paraId="65D207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浓度(mg/m</w:t>
                  </w:r>
                  <w:r>
                    <w:rPr>
                      <w:rFonts w:hint="eastAsia" w:ascii="仿宋" w:hAnsi="仿宋" w:eastAsia="仿宋" w:cs="仿宋"/>
                      <w:b w:val="0"/>
                      <w:bCs w:val="0"/>
                      <w:i w:val="0"/>
                      <w:iCs w:val="0"/>
                      <w:color w:val="000000"/>
                      <w:kern w:val="0"/>
                      <w:sz w:val="21"/>
                      <w:szCs w:val="21"/>
                      <w:u w:val="none"/>
                      <w:lang w:val="en-US" w:eastAsia="zh-CN" w:bidi="ar"/>
                    </w:rPr>
                    <w:t>³</w:t>
                  </w:r>
                  <w:r>
                    <w:rPr>
                      <w:rStyle w:val="119"/>
                      <w:b w:val="0"/>
                      <w:bCs w:val="0"/>
                      <w:sz w:val="21"/>
                      <w:szCs w:val="21"/>
                      <w:lang w:val="en-US" w:eastAsia="zh-CN" w:bidi="ar"/>
                    </w:rPr>
                    <w:t>)</w:t>
                  </w:r>
                </w:p>
              </w:tc>
              <w:tc>
                <w:tcPr>
                  <w:tcW w:w="301" w:type="pct"/>
                  <w:vMerge w:val="continue"/>
                  <w:tcBorders>
                    <w:tl2br w:val="nil"/>
                    <w:tr2bl w:val="nil"/>
                  </w:tcBorders>
                  <w:shd w:val="clear" w:color="auto" w:fill="auto"/>
                  <w:vAlign w:val="center"/>
                </w:tcPr>
                <w:p w14:paraId="2713CFF1">
                  <w:pPr>
                    <w:jc w:val="center"/>
                    <w:rPr>
                      <w:rFonts w:hint="eastAsia" w:ascii="仿宋" w:hAnsi="仿宋" w:eastAsia="仿宋" w:cs="仿宋"/>
                      <w:b w:val="0"/>
                      <w:bCs w:val="0"/>
                      <w:i w:val="0"/>
                      <w:iCs w:val="0"/>
                      <w:color w:val="000000"/>
                      <w:sz w:val="21"/>
                      <w:szCs w:val="21"/>
                      <w:u w:val="none"/>
                    </w:rPr>
                  </w:pPr>
                </w:p>
              </w:tc>
              <w:tc>
                <w:tcPr>
                  <w:tcW w:w="261" w:type="pct"/>
                  <w:vMerge w:val="continue"/>
                  <w:tcBorders>
                    <w:tl2br w:val="nil"/>
                    <w:tr2bl w:val="nil"/>
                  </w:tcBorders>
                  <w:shd w:val="clear" w:color="auto" w:fill="auto"/>
                  <w:vAlign w:val="center"/>
                </w:tcPr>
                <w:p w14:paraId="6D88BD2D">
                  <w:pPr>
                    <w:jc w:val="center"/>
                    <w:rPr>
                      <w:rFonts w:hint="eastAsia" w:ascii="仿宋" w:hAnsi="仿宋" w:eastAsia="仿宋" w:cs="仿宋"/>
                      <w:b w:val="0"/>
                      <w:bCs w:val="0"/>
                      <w:i w:val="0"/>
                      <w:iCs w:val="0"/>
                      <w:color w:val="000000"/>
                      <w:sz w:val="21"/>
                      <w:szCs w:val="21"/>
                      <w:u w:val="none"/>
                    </w:rPr>
                  </w:pPr>
                </w:p>
              </w:tc>
              <w:tc>
                <w:tcPr>
                  <w:tcW w:w="270" w:type="pct"/>
                  <w:vMerge w:val="continue"/>
                  <w:tcBorders>
                    <w:tl2br w:val="nil"/>
                    <w:tr2bl w:val="nil"/>
                  </w:tcBorders>
                  <w:shd w:val="clear" w:color="auto" w:fill="auto"/>
                  <w:vAlign w:val="center"/>
                </w:tcPr>
                <w:p w14:paraId="314B7D8F">
                  <w:pPr>
                    <w:jc w:val="center"/>
                    <w:rPr>
                      <w:rFonts w:hint="eastAsia" w:ascii="仿宋" w:hAnsi="仿宋" w:eastAsia="仿宋" w:cs="仿宋"/>
                      <w:b w:val="0"/>
                      <w:bCs w:val="0"/>
                      <w:i w:val="0"/>
                      <w:iCs w:val="0"/>
                      <w:color w:val="000000"/>
                      <w:sz w:val="21"/>
                      <w:szCs w:val="21"/>
                      <w:u w:val="none"/>
                    </w:rPr>
                  </w:pPr>
                </w:p>
              </w:tc>
              <w:tc>
                <w:tcPr>
                  <w:tcW w:w="270" w:type="pct"/>
                  <w:vMerge w:val="continue"/>
                  <w:tcBorders>
                    <w:tl2br w:val="nil"/>
                    <w:tr2bl w:val="nil"/>
                  </w:tcBorders>
                  <w:shd w:val="clear" w:color="auto" w:fill="auto"/>
                  <w:vAlign w:val="center"/>
                </w:tcPr>
                <w:p w14:paraId="006A3BE9">
                  <w:pPr>
                    <w:jc w:val="center"/>
                    <w:rPr>
                      <w:rFonts w:hint="eastAsia" w:ascii="仿宋" w:hAnsi="仿宋" w:eastAsia="仿宋" w:cs="仿宋"/>
                      <w:b w:val="0"/>
                      <w:bCs w:val="0"/>
                      <w:i w:val="0"/>
                      <w:iCs w:val="0"/>
                      <w:color w:val="000000"/>
                      <w:sz w:val="21"/>
                      <w:szCs w:val="21"/>
                      <w:u w:val="none"/>
                    </w:rPr>
                  </w:pPr>
                </w:p>
              </w:tc>
              <w:tc>
                <w:tcPr>
                  <w:tcW w:w="275" w:type="pct"/>
                  <w:tcBorders>
                    <w:tl2br w:val="nil"/>
                    <w:tr2bl w:val="nil"/>
                  </w:tcBorders>
                  <w:shd w:val="clear" w:color="auto" w:fill="auto"/>
                  <w:vAlign w:val="center"/>
                </w:tcPr>
                <w:p w14:paraId="5F355BC5">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排放量(t/a)</w:t>
                  </w:r>
                </w:p>
              </w:tc>
              <w:tc>
                <w:tcPr>
                  <w:tcW w:w="340" w:type="pct"/>
                  <w:tcBorders>
                    <w:tl2br w:val="nil"/>
                    <w:tr2bl w:val="nil"/>
                  </w:tcBorders>
                  <w:shd w:val="clear" w:color="auto" w:fill="auto"/>
                  <w:vAlign w:val="center"/>
                </w:tcPr>
                <w:p w14:paraId="031C3F8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速率(kg/h)</w:t>
                  </w:r>
                </w:p>
              </w:tc>
              <w:tc>
                <w:tcPr>
                  <w:tcW w:w="347" w:type="pct"/>
                  <w:tcBorders>
                    <w:tl2br w:val="nil"/>
                    <w:tr2bl w:val="nil"/>
                  </w:tcBorders>
                  <w:shd w:val="clear" w:color="auto" w:fill="auto"/>
                  <w:vAlign w:val="center"/>
                </w:tcPr>
                <w:p w14:paraId="0C08EDAE">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浓度(mg/m³</w:t>
                  </w:r>
                  <w:r>
                    <w:rPr>
                      <w:rStyle w:val="119"/>
                      <w:b w:val="0"/>
                      <w:bCs w:val="0"/>
                      <w:sz w:val="21"/>
                      <w:szCs w:val="21"/>
                      <w:lang w:val="en-US" w:eastAsia="zh-CN" w:bidi="ar"/>
                    </w:rPr>
                    <w:t>)</w:t>
                  </w:r>
                </w:p>
              </w:tc>
              <w:tc>
                <w:tcPr>
                  <w:tcW w:w="315" w:type="pct"/>
                  <w:tcBorders>
                    <w:tl2br w:val="nil"/>
                    <w:tr2bl w:val="nil"/>
                  </w:tcBorders>
                  <w:shd w:val="clear" w:color="auto" w:fill="auto"/>
                  <w:vAlign w:val="center"/>
                </w:tcPr>
                <w:p w14:paraId="7CF48494">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速率(kg/h)</w:t>
                  </w:r>
                </w:p>
              </w:tc>
              <w:tc>
                <w:tcPr>
                  <w:tcW w:w="341" w:type="pct"/>
                  <w:tcBorders>
                    <w:tl2br w:val="nil"/>
                    <w:tr2bl w:val="nil"/>
                  </w:tcBorders>
                  <w:shd w:val="clear" w:color="auto" w:fill="auto"/>
                  <w:vAlign w:val="center"/>
                </w:tcPr>
                <w:p w14:paraId="3204AABD">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浓度(mg/m³</w:t>
                  </w:r>
                  <w:r>
                    <w:rPr>
                      <w:rStyle w:val="119"/>
                      <w:b w:val="0"/>
                      <w:bCs w:val="0"/>
                      <w:sz w:val="21"/>
                      <w:szCs w:val="21"/>
                      <w:lang w:val="en-US" w:eastAsia="zh-CN" w:bidi="ar"/>
                    </w:rPr>
                    <w:t>)</w:t>
                  </w:r>
                </w:p>
              </w:tc>
              <w:tc>
                <w:tcPr>
                  <w:tcW w:w="549" w:type="pct"/>
                  <w:tcBorders>
                    <w:tl2br w:val="nil"/>
                    <w:tr2bl w:val="nil"/>
                  </w:tcBorders>
                  <w:shd w:val="clear" w:color="auto" w:fill="auto"/>
                  <w:vAlign w:val="center"/>
                </w:tcPr>
                <w:p w14:paraId="6265A2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名称</w:t>
                  </w:r>
                </w:p>
              </w:tc>
            </w:tr>
            <w:tr w14:paraId="65EA9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36" w:type="pct"/>
                  <w:tcBorders>
                    <w:tl2br w:val="nil"/>
                    <w:tr2bl w:val="nil"/>
                  </w:tcBorders>
                  <w:shd w:val="clear" w:color="auto" w:fill="auto"/>
                  <w:vAlign w:val="center"/>
                </w:tcPr>
                <w:p w14:paraId="3A2701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加料、破碎、筛分</w:t>
                  </w:r>
                </w:p>
              </w:tc>
              <w:tc>
                <w:tcPr>
                  <w:tcW w:w="378" w:type="pct"/>
                  <w:tcBorders>
                    <w:tl2br w:val="nil"/>
                    <w:tr2bl w:val="nil"/>
                  </w:tcBorders>
                  <w:shd w:val="clear" w:color="auto" w:fill="auto"/>
                  <w:vAlign w:val="center"/>
                </w:tcPr>
                <w:p w14:paraId="0A6A99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颗粒物</w:t>
                  </w:r>
                </w:p>
              </w:tc>
              <w:tc>
                <w:tcPr>
                  <w:tcW w:w="315" w:type="pct"/>
                  <w:tcBorders>
                    <w:tl2br w:val="nil"/>
                    <w:tr2bl w:val="nil"/>
                  </w:tcBorders>
                  <w:shd w:val="clear" w:color="auto" w:fill="auto"/>
                  <w:vAlign w:val="center"/>
                </w:tcPr>
                <w:p w14:paraId="019D12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33.3</w:t>
                  </w:r>
                </w:p>
              </w:tc>
              <w:tc>
                <w:tcPr>
                  <w:tcW w:w="342" w:type="pct"/>
                  <w:tcBorders>
                    <w:tl2br w:val="nil"/>
                    <w:tr2bl w:val="nil"/>
                  </w:tcBorders>
                  <w:shd w:val="clear" w:color="auto" w:fill="auto"/>
                  <w:vAlign w:val="center"/>
                </w:tcPr>
                <w:p w14:paraId="52E0D1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4.205 </w:t>
                  </w:r>
                </w:p>
              </w:tc>
              <w:tc>
                <w:tcPr>
                  <w:tcW w:w="354" w:type="pct"/>
                  <w:tcBorders>
                    <w:tl2br w:val="nil"/>
                    <w:tr2bl w:val="nil"/>
                  </w:tcBorders>
                  <w:shd w:val="clear" w:color="auto" w:fill="auto"/>
                  <w:vAlign w:val="center"/>
                </w:tcPr>
                <w:p w14:paraId="78ED37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600.649 </w:t>
                  </w:r>
                </w:p>
              </w:tc>
              <w:tc>
                <w:tcPr>
                  <w:tcW w:w="301" w:type="pct"/>
                  <w:tcBorders>
                    <w:tl2br w:val="nil"/>
                    <w:tr2bl w:val="nil"/>
                  </w:tcBorders>
                  <w:shd w:val="clear" w:color="auto" w:fill="auto"/>
                  <w:vAlign w:val="center"/>
                </w:tcPr>
                <w:p w14:paraId="3C5BB1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7000</w:t>
                  </w:r>
                </w:p>
              </w:tc>
              <w:tc>
                <w:tcPr>
                  <w:tcW w:w="261" w:type="pct"/>
                  <w:tcBorders>
                    <w:tl2br w:val="nil"/>
                    <w:tr2bl w:val="nil"/>
                  </w:tcBorders>
                  <w:shd w:val="clear" w:color="auto" w:fill="auto"/>
                  <w:vAlign w:val="center"/>
                </w:tcPr>
                <w:p w14:paraId="2EDFA1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布袋除尘器</w:t>
                  </w:r>
                </w:p>
              </w:tc>
              <w:tc>
                <w:tcPr>
                  <w:tcW w:w="270" w:type="pct"/>
                  <w:tcBorders>
                    <w:tl2br w:val="nil"/>
                    <w:tr2bl w:val="nil"/>
                  </w:tcBorders>
                  <w:shd w:val="clear" w:color="auto" w:fill="auto"/>
                  <w:vAlign w:val="center"/>
                </w:tcPr>
                <w:p w14:paraId="7C2F46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270" w:type="pct"/>
                  <w:tcBorders>
                    <w:tl2br w:val="nil"/>
                    <w:tr2bl w:val="nil"/>
                  </w:tcBorders>
                  <w:shd w:val="clear" w:color="auto" w:fill="auto"/>
                  <w:vAlign w:val="center"/>
                </w:tcPr>
                <w:p w14:paraId="4B536C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w:t>
                  </w:r>
                </w:p>
              </w:tc>
              <w:tc>
                <w:tcPr>
                  <w:tcW w:w="275" w:type="pct"/>
                  <w:tcBorders>
                    <w:tl2br w:val="nil"/>
                    <w:tr2bl w:val="nil"/>
                  </w:tcBorders>
                  <w:shd w:val="clear" w:color="auto" w:fill="auto"/>
                  <w:vAlign w:val="center"/>
                </w:tcPr>
                <w:p w14:paraId="78CEA6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0.333 </w:t>
                  </w:r>
                </w:p>
              </w:tc>
              <w:tc>
                <w:tcPr>
                  <w:tcW w:w="340" w:type="pct"/>
                  <w:tcBorders>
                    <w:tl2br w:val="nil"/>
                    <w:tr2bl w:val="nil"/>
                  </w:tcBorders>
                  <w:shd w:val="clear" w:color="auto" w:fill="auto"/>
                  <w:vAlign w:val="center"/>
                </w:tcPr>
                <w:p w14:paraId="02FD20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0.042 </w:t>
                  </w:r>
                </w:p>
              </w:tc>
              <w:tc>
                <w:tcPr>
                  <w:tcW w:w="347" w:type="pct"/>
                  <w:tcBorders>
                    <w:tl2br w:val="nil"/>
                    <w:tr2bl w:val="nil"/>
                  </w:tcBorders>
                  <w:shd w:val="clear" w:color="auto" w:fill="auto"/>
                  <w:vAlign w:val="center"/>
                </w:tcPr>
                <w:p w14:paraId="09CC79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6.006 </w:t>
                  </w:r>
                </w:p>
              </w:tc>
              <w:tc>
                <w:tcPr>
                  <w:tcW w:w="315" w:type="pct"/>
                  <w:tcBorders>
                    <w:tl2br w:val="nil"/>
                    <w:tr2bl w:val="nil"/>
                  </w:tcBorders>
                  <w:shd w:val="clear" w:color="auto" w:fill="auto"/>
                  <w:vAlign w:val="center"/>
                </w:tcPr>
                <w:p w14:paraId="089AF4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341" w:type="pct"/>
                  <w:tcBorders>
                    <w:tl2br w:val="nil"/>
                    <w:tr2bl w:val="nil"/>
                  </w:tcBorders>
                  <w:shd w:val="clear" w:color="auto" w:fill="auto"/>
                  <w:vAlign w:val="center"/>
                </w:tcPr>
                <w:p w14:paraId="4CB423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549" w:type="pct"/>
                  <w:tcBorders>
                    <w:tl2br w:val="nil"/>
                    <w:tr2bl w:val="nil"/>
                  </w:tcBorders>
                  <w:shd w:val="clear" w:color="auto" w:fill="auto"/>
                  <w:vAlign w:val="center"/>
                </w:tcPr>
                <w:p w14:paraId="700842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GB16297-1996</w:t>
                  </w:r>
                </w:p>
              </w:tc>
            </w:tr>
            <w:tr w14:paraId="3CA17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36" w:type="pct"/>
                  <w:vMerge w:val="restart"/>
                  <w:tcBorders>
                    <w:tl2br w:val="nil"/>
                    <w:tr2bl w:val="nil"/>
                  </w:tcBorders>
                  <w:shd w:val="clear" w:color="auto" w:fill="auto"/>
                  <w:vAlign w:val="center"/>
                </w:tcPr>
                <w:p w14:paraId="0C416C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发酵、污泥暂存</w:t>
                  </w:r>
                </w:p>
              </w:tc>
              <w:tc>
                <w:tcPr>
                  <w:tcW w:w="378" w:type="pct"/>
                  <w:tcBorders>
                    <w:tl2br w:val="nil"/>
                    <w:tr2bl w:val="nil"/>
                  </w:tcBorders>
                  <w:shd w:val="clear" w:color="auto" w:fill="auto"/>
                  <w:vAlign w:val="center"/>
                </w:tcPr>
                <w:p w14:paraId="44D56E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硫化氢</w:t>
                  </w:r>
                </w:p>
              </w:tc>
              <w:tc>
                <w:tcPr>
                  <w:tcW w:w="315" w:type="pct"/>
                  <w:tcBorders>
                    <w:tl2br w:val="nil"/>
                    <w:tr2bl w:val="nil"/>
                  </w:tcBorders>
                  <w:shd w:val="clear" w:color="auto" w:fill="auto"/>
                  <w:vAlign w:val="center"/>
                </w:tcPr>
                <w:p w14:paraId="66A50A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2.218 </w:t>
                  </w:r>
                </w:p>
              </w:tc>
              <w:tc>
                <w:tcPr>
                  <w:tcW w:w="342" w:type="pct"/>
                  <w:tcBorders>
                    <w:tl2br w:val="nil"/>
                    <w:tr2bl w:val="nil"/>
                  </w:tcBorders>
                  <w:shd w:val="clear" w:color="auto" w:fill="auto"/>
                  <w:vAlign w:val="center"/>
                </w:tcPr>
                <w:p w14:paraId="0AB402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0.280 </w:t>
                  </w:r>
                </w:p>
              </w:tc>
              <w:tc>
                <w:tcPr>
                  <w:tcW w:w="354" w:type="pct"/>
                  <w:tcBorders>
                    <w:tl2br w:val="nil"/>
                    <w:tr2bl w:val="nil"/>
                  </w:tcBorders>
                  <w:shd w:val="clear" w:color="auto" w:fill="auto"/>
                  <w:vAlign w:val="center"/>
                </w:tcPr>
                <w:p w14:paraId="23957D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18.668 </w:t>
                  </w:r>
                </w:p>
              </w:tc>
              <w:tc>
                <w:tcPr>
                  <w:tcW w:w="301" w:type="pct"/>
                  <w:vMerge w:val="restart"/>
                  <w:tcBorders>
                    <w:tl2br w:val="nil"/>
                    <w:tr2bl w:val="nil"/>
                  </w:tcBorders>
                  <w:shd w:val="clear" w:color="auto" w:fill="auto"/>
                  <w:vAlign w:val="center"/>
                </w:tcPr>
                <w:p w14:paraId="57B2D8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w:t>
                  </w:r>
                </w:p>
              </w:tc>
              <w:tc>
                <w:tcPr>
                  <w:tcW w:w="261" w:type="pct"/>
                  <w:vMerge w:val="restart"/>
                  <w:tcBorders>
                    <w:tl2br w:val="nil"/>
                    <w:tr2bl w:val="nil"/>
                  </w:tcBorders>
                  <w:shd w:val="clear" w:color="auto" w:fill="auto"/>
                  <w:vAlign w:val="center"/>
                </w:tcPr>
                <w:p w14:paraId="22AAEB0E">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生物除臭塔</w:t>
                  </w:r>
                </w:p>
              </w:tc>
              <w:tc>
                <w:tcPr>
                  <w:tcW w:w="270" w:type="pct"/>
                  <w:vMerge w:val="restart"/>
                  <w:tcBorders>
                    <w:tl2br w:val="nil"/>
                    <w:tr2bl w:val="nil"/>
                  </w:tcBorders>
                  <w:shd w:val="clear" w:color="auto" w:fill="auto"/>
                  <w:vAlign w:val="center"/>
                </w:tcPr>
                <w:p w14:paraId="7E7D2D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98</w:t>
                  </w:r>
                </w:p>
              </w:tc>
              <w:tc>
                <w:tcPr>
                  <w:tcW w:w="270" w:type="pct"/>
                  <w:vMerge w:val="restart"/>
                  <w:tcBorders>
                    <w:tl2br w:val="nil"/>
                    <w:tr2bl w:val="nil"/>
                  </w:tcBorders>
                  <w:shd w:val="clear" w:color="auto" w:fill="auto"/>
                  <w:vAlign w:val="center"/>
                </w:tcPr>
                <w:p w14:paraId="6182E9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275" w:type="pct"/>
                  <w:tcBorders>
                    <w:tl2br w:val="nil"/>
                    <w:tr2bl w:val="nil"/>
                  </w:tcBorders>
                  <w:shd w:val="clear" w:color="auto" w:fill="auto"/>
                  <w:vAlign w:val="center"/>
                </w:tcPr>
                <w:p w14:paraId="3F3F04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0.222 </w:t>
                  </w:r>
                </w:p>
              </w:tc>
              <w:tc>
                <w:tcPr>
                  <w:tcW w:w="340" w:type="pct"/>
                  <w:tcBorders>
                    <w:tl2br w:val="nil"/>
                    <w:tr2bl w:val="nil"/>
                  </w:tcBorders>
                  <w:shd w:val="clear" w:color="auto" w:fill="auto"/>
                  <w:vAlign w:val="center"/>
                </w:tcPr>
                <w:p w14:paraId="723C4B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0.028 </w:t>
                  </w:r>
                </w:p>
              </w:tc>
              <w:tc>
                <w:tcPr>
                  <w:tcW w:w="347" w:type="pct"/>
                  <w:tcBorders>
                    <w:tl2br w:val="nil"/>
                    <w:tr2bl w:val="nil"/>
                  </w:tcBorders>
                  <w:shd w:val="clear" w:color="auto" w:fill="auto"/>
                  <w:vAlign w:val="center"/>
                </w:tcPr>
                <w:p w14:paraId="0F8C37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1.867 </w:t>
                  </w:r>
                </w:p>
              </w:tc>
              <w:tc>
                <w:tcPr>
                  <w:tcW w:w="315" w:type="pct"/>
                  <w:tcBorders>
                    <w:tl2br w:val="nil"/>
                    <w:tr2bl w:val="nil"/>
                  </w:tcBorders>
                  <w:shd w:val="clear" w:color="auto" w:fill="auto"/>
                  <w:vAlign w:val="center"/>
                </w:tcPr>
                <w:p w14:paraId="269A83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0.33</w:t>
                  </w:r>
                </w:p>
              </w:tc>
              <w:tc>
                <w:tcPr>
                  <w:tcW w:w="341" w:type="pct"/>
                  <w:tcBorders>
                    <w:tl2br w:val="nil"/>
                    <w:tr2bl w:val="nil"/>
                  </w:tcBorders>
                  <w:shd w:val="clear" w:color="auto" w:fill="auto"/>
                  <w:vAlign w:val="center"/>
                </w:tcPr>
                <w:p w14:paraId="3A8AE0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549" w:type="pct"/>
                  <w:tcBorders>
                    <w:tl2br w:val="nil"/>
                    <w:tr2bl w:val="nil"/>
                  </w:tcBorders>
                  <w:shd w:val="clear" w:color="auto" w:fill="auto"/>
                  <w:vAlign w:val="center"/>
                </w:tcPr>
                <w:p w14:paraId="0037A5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GB14554-93</w:t>
                  </w:r>
                </w:p>
              </w:tc>
            </w:tr>
            <w:tr w14:paraId="4C814C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36" w:type="pct"/>
                  <w:vMerge w:val="continue"/>
                  <w:tcBorders>
                    <w:tl2br w:val="nil"/>
                    <w:tr2bl w:val="nil"/>
                  </w:tcBorders>
                  <w:shd w:val="clear" w:color="auto" w:fill="auto"/>
                  <w:vAlign w:val="center"/>
                </w:tcPr>
                <w:p w14:paraId="207B9364">
                  <w:pPr>
                    <w:jc w:val="center"/>
                    <w:rPr>
                      <w:rFonts w:hint="eastAsia" w:ascii="仿宋" w:hAnsi="仿宋" w:eastAsia="仿宋" w:cs="仿宋"/>
                      <w:i w:val="0"/>
                      <w:iCs w:val="0"/>
                      <w:color w:val="000000"/>
                      <w:sz w:val="21"/>
                      <w:szCs w:val="21"/>
                      <w:u w:val="none"/>
                    </w:rPr>
                  </w:pPr>
                </w:p>
              </w:tc>
              <w:tc>
                <w:tcPr>
                  <w:tcW w:w="378" w:type="pct"/>
                  <w:tcBorders>
                    <w:tl2br w:val="nil"/>
                    <w:tr2bl w:val="nil"/>
                  </w:tcBorders>
                  <w:shd w:val="clear" w:color="auto" w:fill="auto"/>
                  <w:vAlign w:val="center"/>
                </w:tcPr>
                <w:p w14:paraId="076FDE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氨</w:t>
                  </w:r>
                </w:p>
              </w:tc>
              <w:tc>
                <w:tcPr>
                  <w:tcW w:w="315" w:type="pct"/>
                  <w:tcBorders>
                    <w:tl2br w:val="nil"/>
                    <w:tr2bl w:val="nil"/>
                  </w:tcBorders>
                  <w:shd w:val="clear" w:color="auto" w:fill="auto"/>
                  <w:vAlign w:val="center"/>
                </w:tcPr>
                <w:p w14:paraId="7B161C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17.753 </w:t>
                  </w:r>
                </w:p>
              </w:tc>
              <w:tc>
                <w:tcPr>
                  <w:tcW w:w="342" w:type="pct"/>
                  <w:tcBorders>
                    <w:tl2br w:val="nil"/>
                    <w:tr2bl w:val="nil"/>
                  </w:tcBorders>
                  <w:shd w:val="clear" w:color="auto" w:fill="auto"/>
                  <w:vAlign w:val="center"/>
                </w:tcPr>
                <w:p w14:paraId="71876B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2.242 </w:t>
                  </w:r>
                </w:p>
              </w:tc>
              <w:tc>
                <w:tcPr>
                  <w:tcW w:w="354" w:type="pct"/>
                  <w:tcBorders>
                    <w:tl2br w:val="nil"/>
                    <w:tr2bl w:val="nil"/>
                  </w:tcBorders>
                  <w:shd w:val="clear" w:color="auto" w:fill="auto"/>
                  <w:vAlign w:val="center"/>
                </w:tcPr>
                <w:p w14:paraId="3237AA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149.434 </w:t>
                  </w:r>
                </w:p>
              </w:tc>
              <w:tc>
                <w:tcPr>
                  <w:tcW w:w="301" w:type="pct"/>
                  <w:vMerge w:val="continue"/>
                  <w:tcBorders>
                    <w:tl2br w:val="nil"/>
                    <w:tr2bl w:val="nil"/>
                  </w:tcBorders>
                  <w:shd w:val="clear" w:color="auto" w:fill="auto"/>
                  <w:vAlign w:val="center"/>
                </w:tcPr>
                <w:p w14:paraId="563474F8">
                  <w:pPr>
                    <w:jc w:val="center"/>
                    <w:rPr>
                      <w:rFonts w:hint="eastAsia" w:ascii="仿宋" w:hAnsi="仿宋" w:eastAsia="仿宋" w:cs="仿宋"/>
                      <w:i w:val="0"/>
                      <w:iCs w:val="0"/>
                      <w:color w:val="000000"/>
                      <w:sz w:val="21"/>
                      <w:szCs w:val="21"/>
                      <w:u w:val="none"/>
                    </w:rPr>
                  </w:pPr>
                </w:p>
              </w:tc>
              <w:tc>
                <w:tcPr>
                  <w:tcW w:w="261" w:type="pct"/>
                  <w:vMerge w:val="continue"/>
                  <w:tcBorders>
                    <w:tl2br w:val="nil"/>
                    <w:tr2bl w:val="nil"/>
                  </w:tcBorders>
                  <w:shd w:val="clear" w:color="auto" w:fill="auto"/>
                  <w:vAlign w:val="center"/>
                </w:tcPr>
                <w:p w14:paraId="1808AAE7">
                  <w:pPr>
                    <w:jc w:val="center"/>
                    <w:rPr>
                      <w:rFonts w:hint="eastAsia" w:ascii="仿宋" w:hAnsi="仿宋" w:eastAsia="仿宋" w:cs="仿宋"/>
                      <w:i w:val="0"/>
                      <w:iCs w:val="0"/>
                      <w:color w:val="000000"/>
                      <w:sz w:val="21"/>
                      <w:szCs w:val="21"/>
                      <w:u w:val="none"/>
                    </w:rPr>
                  </w:pPr>
                </w:p>
              </w:tc>
              <w:tc>
                <w:tcPr>
                  <w:tcW w:w="270" w:type="pct"/>
                  <w:vMerge w:val="continue"/>
                  <w:tcBorders>
                    <w:tl2br w:val="nil"/>
                    <w:tr2bl w:val="nil"/>
                  </w:tcBorders>
                  <w:shd w:val="clear" w:color="auto" w:fill="auto"/>
                  <w:vAlign w:val="center"/>
                </w:tcPr>
                <w:p w14:paraId="4643CA84">
                  <w:pPr>
                    <w:jc w:val="center"/>
                    <w:rPr>
                      <w:rFonts w:hint="eastAsia" w:ascii="仿宋" w:hAnsi="仿宋" w:eastAsia="仿宋" w:cs="仿宋"/>
                      <w:i w:val="0"/>
                      <w:iCs w:val="0"/>
                      <w:color w:val="000000"/>
                      <w:sz w:val="21"/>
                      <w:szCs w:val="21"/>
                      <w:u w:val="none"/>
                    </w:rPr>
                  </w:pPr>
                </w:p>
              </w:tc>
              <w:tc>
                <w:tcPr>
                  <w:tcW w:w="270" w:type="pct"/>
                  <w:vMerge w:val="continue"/>
                  <w:tcBorders>
                    <w:tl2br w:val="nil"/>
                    <w:tr2bl w:val="nil"/>
                  </w:tcBorders>
                  <w:shd w:val="clear" w:color="auto" w:fill="auto"/>
                  <w:vAlign w:val="center"/>
                </w:tcPr>
                <w:p w14:paraId="1A37CDBE">
                  <w:pPr>
                    <w:jc w:val="center"/>
                    <w:rPr>
                      <w:rFonts w:hint="eastAsia" w:ascii="仿宋" w:hAnsi="仿宋" w:eastAsia="仿宋" w:cs="仿宋"/>
                      <w:i w:val="0"/>
                      <w:iCs w:val="0"/>
                      <w:color w:val="000000"/>
                      <w:sz w:val="21"/>
                      <w:szCs w:val="21"/>
                      <w:u w:val="none"/>
                    </w:rPr>
                  </w:pPr>
                </w:p>
              </w:tc>
              <w:tc>
                <w:tcPr>
                  <w:tcW w:w="275" w:type="pct"/>
                  <w:tcBorders>
                    <w:tl2br w:val="nil"/>
                    <w:tr2bl w:val="nil"/>
                  </w:tcBorders>
                  <w:shd w:val="clear" w:color="auto" w:fill="auto"/>
                  <w:vAlign w:val="center"/>
                </w:tcPr>
                <w:p w14:paraId="2C25EC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1.775 </w:t>
                  </w:r>
                </w:p>
              </w:tc>
              <w:tc>
                <w:tcPr>
                  <w:tcW w:w="340" w:type="pct"/>
                  <w:tcBorders>
                    <w:tl2br w:val="nil"/>
                    <w:tr2bl w:val="nil"/>
                  </w:tcBorders>
                  <w:shd w:val="clear" w:color="auto" w:fill="auto"/>
                  <w:vAlign w:val="center"/>
                </w:tcPr>
                <w:p w14:paraId="2C2F7A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0.224 </w:t>
                  </w:r>
                </w:p>
              </w:tc>
              <w:tc>
                <w:tcPr>
                  <w:tcW w:w="347" w:type="pct"/>
                  <w:tcBorders>
                    <w:tl2br w:val="nil"/>
                    <w:tr2bl w:val="nil"/>
                  </w:tcBorders>
                  <w:shd w:val="clear" w:color="auto" w:fill="auto"/>
                  <w:vAlign w:val="center"/>
                </w:tcPr>
                <w:p w14:paraId="32508F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14.943 </w:t>
                  </w:r>
                </w:p>
              </w:tc>
              <w:tc>
                <w:tcPr>
                  <w:tcW w:w="315" w:type="pct"/>
                  <w:tcBorders>
                    <w:tl2br w:val="nil"/>
                    <w:tr2bl w:val="nil"/>
                  </w:tcBorders>
                  <w:shd w:val="clear" w:color="auto" w:fill="auto"/>
                  <w:vAlign w:val="center"/>
                </w:tcPr>
                <w:p w14:paraId="7ED887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341" w:type="pct"/>
                  <w:tcBorders>
                    <w:tl2br w:val="nil"/>
                    <w:tr2bl w:val="nil"/>
                  </w:tcBorders>
                  <w:shd w:val="clear" w:color="auto" w:fill="auto"/>
                  <w:vAlign w:val="center"/>
                </w:tcPr>
                <w:p w14:paraId="634754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549" w:type="pct"/>
                  <w:tcBorders>
                    <w:tl2br w:val="nil"/>
                    <w:tr2bl w:val="nil"/>
                  </w:tcBorders>
                  <w:shd w:val="clear" w:color="auto" w:fill="auto"/>
                  <w:vAlign w:val="center"/>
                </w:tcPr>
                <w:p w14:paraId="77FADB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GB14554-93</w:t>
                  </w:r>
                </w:p>
              </w:tc>
            </w:tr>
          </w:tbl>
          <w:p w14:paraId="226043D1">
            <w:pPr>
              <w:pStyle w:val="28"/>
              <w:spacing w:before="0" w:beforeAutospacing="0" w:after="0" w:afterAutospacing="0"/>
              <w:jc w:val="center"/>
              <w:outlineLvl w:val="0"/>
              <w:rPr>
                <w:rFonts w:hint="eastAsia" w:ascii="仿宋" w:hAnsi="仿宋" w:eastAsia="仿宋" w:cs="仿宋"/>
                <w:b/>
                <w:bCs/>
                <w:snapToGrid w:val="0"/>
                <w:color w:val="auto"/>
                <w:sz w:val="21"/>
                <w:szCs w:val="21"/>
                <w:vertAlign w:val="baseline"/>
                <w:lang w:val="en-US" w:eastAsia="zh-CN"/>
              </w:rPr>
            </w:pPr>
            <w:r>
              <w:rPr>
                <w:rFonts w:hint="eastAsia" w:ascii="仿宋" w:hAnsi="仿宋" w:eastAsia="仿宋" w:cs="仿宋"/>
                <w:b/>
                <w:bCs/>
                <w:snapToGrid w:val="0"/>
                <w:color w:val="auto"/>
                <w:sz w:val="21"/>
                <w:szCs w:val="21"/>
                <w:vertAlign w:val="baseline"/>
                <w:lang w:val="en-US" w:eastAsia="zh-CN"/>
              </w:rPr>
              <w:t xml:space="preserve">表4-3 </w:t>
            </w:r>
            <w:r>
              <w:rPr>
                <w:rFonts w:hint="eastAsia" w:ascii="仿宋" w:hAnsi="仿宋" w:eastAsia="仿宋" w:cs="仿宋"/>
                <w:b/>
                <w:color w:val="auto"/>
                <w:spacing w:val="0"/>
                <w:kern w:val="2"/>
                <w:sz w:val="24"/>
                <w:szCs w:val="24"/>
                <w:lang w:val="en-US" w:eastAsia="zh-CN" w:bidi="ar-SA"/>
              </w:rPr>
              <w:t xml:space="preserve"> </w:t>
            </w:r>
            <w:r>
              <w:rPr>
                <w:rFonts w:hint="eastAsia" w:ascii="仿宋" w:hAnsi="仿宋" w:eastAsia="仿宋" w:cs="仿宋"/>
                <w:b/>
                <w:bCs/>
                <w:snapToGrid w:val="0"/>
                <w:color w:val="auto"/>
                <w:sz w:val="21"/>
                <w:szCs w:val="21"/>
                <w:vertAlign w:val="baseline"/>
                <w:lang w:val="en-US" w:eastAsia="zh-CN"/>
              </w:rPr>
              <w:t>有组织排放口基本情况表</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043"/>
              <w:gridCol w:w="860"/>
              <w:gridCol w:w="1403"/>
              <w:gridCol w:w="1344"/>
              <w:gridCol w:w="922"/>
              <w:gridCol w:w="1054"/>
              <w:gridCol w:w="1393"/>
              <w:gridCol w:w="936"/>
              <w:gridCol w:w="1928"/>
              <w:gridCol w:w="1422"/>
              <w:gridCol w:w="1126"/>
            </w:tblGrid>
            <w:tr w14:paraId="750D21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88" w:type="pct"/>
                  <w:vMerge w:val="restart"/>
                  <w:tcBorders>
                    <w:tl2br w:val="nil"/>
                    <w:tr2bl w:val="nil"/>
                  </w:tcBorders>
                  <w:shd w:val="clear" w:color="auto" w:fill="auto"/>
                  <w:vAlign w:val="center"/>
                </w:tcPr>
                <w:p w14:paraId="378927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编号</w:t>
                  </w:r>
                </w:p>
              </w:tc>
              <w:tc>
                <w:tcPr>
                  <w:tcW w:w="320" w:type="pct"/>
                  <w:vMerge w:val="restart"/>
                  <w:tcBorders>
                    <w:tl2br w:val="nil"/>
                    <w:tr2bl w:val="nil"/>
                  </w:tcBorders>
                  <w:shd w:val="clear" w:color="auto" w:fill="auto"/>
                  <w:vAlign w:val="center"/>
                </w:tcPr>
                <w:p w14:paraId="0E2B98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名称</w:t>
                  </w:r>
                </w:p>
              </w:tc>
              <w:tc>
                <w:tcPr>
                  <w:tcW w:w="1022" w:type="pct"/>
                  <w:gridSpan w:val="2"/>
                  <w:tcBorders>
                    <w:tl2br w:val="nil"/>
                    <w:tr2bl w:val="nil"/>
                  </w:tcBorders>
                  <w:shd w:val="clear" w:color="auto" w:fill="auto"/>
                  <w:vAlign w:val="center"/>
                </w:tcPr>
                <w:p w14:paraId="4C7B7B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排气筒底部中心经纬度</w:t>
                  </w:r>
                </w:p>
              </w:tc>
              <w:tc>
                <w:tcPr>
                  <w:tcW w:w="343" w:type="pct"/>
                  <w:vMerge w:val="restart"/>
                  <w:tcBorders>
                    <w:tl2br w:val="nil"/>
                    <w:tr2bl w:val="nil"/>
                  </w:tcBorders>
                  <w:shd w:val="clear" w:color="auto" w:fill="auto"/>
                  <w:vAlign w:val="center"/>
                </w:tcPr>
                <w:p w14:paraId="257FEE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排气筒高度/m</w:t>
                  </w:r>
                </w:p>
              </w:tc>
              <w:tc>
                <w:tcPr>
                  <w:tcW w:w="392" w:type="pct"/>
                  <w:vMerge w:val="restart"/>
                  <w:tcBorders>
                    <w:tl2br w:val="nil"/>
                    <w:tr2bl w:val="nil"/>
                  </w:tcBorders>
                  <w:shd w:val="clear" w:color="auto" w:fill="auto"/>
                  <w:vAlign w:val="center"/>
                </w:tcPr>
                <w:p w14:paraId="5A2D26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排气筒出口内径/m</w:t>
                  </w:r>
                </w:p>
              </w:tc>
              <w:tc>
                <w:tcPr>
                  <w:tcW w:w="518" w:type="pct"/>
                  <w:vMerge w:val="restart"/>
                  <w:tcBorders>
                    <w:tl2br w:val="nil"/>
                    <w:tr2bl w:val="nil"/>
                  </w:tcBorders>
                  <w:shd w:val="clear" w:color="auto" w:fill="auto"/>
                  <w:vAlign w:val="center"/>
                </w:tcPr>
                <w:p w14:paraId="7DC826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流速m/s</w:t>
                  </w:r>
                </w:p>
              </w:tc>
              <w:tc>
                <w:tcPr>
                  <w:tcW w:w="348" w:type="pct"/>
                  <w:vMerge w:val="restart"/>
                  <w:tcBorders>
                    <w:tl2br w:val="nil"/>
                    <w:tr2bl w:val="nil"/>
                  </w:tcBorders>
                  <w:shd w:val="clear" w:color="auto" w:fill="auto"/>
                  <w:vAlign w:val="center"/>
                </w:tcPr>
                <w:p w14:paraId="275C95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烟气温度/℃</w:t>
                  </w:r>
                </w:p>
              </w:tc>
              <w:tc>
                <w:tcPr>
                  <w:tcW w:w="717" w:type="pct"/>
                  <w:vMerge w:val="restart"/>
                  <w:tcBorders>
                    <w:tl2br w:val="nil"/>
                    <w:tr2bl w:val="nil"/>
                  </w:tcBorders>
                  <w:shd w:val="clear" w:color="auto" w:fill="auto"/>
                  <w:vAlign w:val="center"/>
                </w:tcPr>
                <w:p w14:paraId="0DC694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污染物</w:t>
                  </w:r>
                </w:p>
              </w:tc>
              <w:tc>
                <w:tcPr>
                  <w:tcW w:w="529" w:type="pct"/>
                  <w:vMerge w:val="restart"/>
                  <w:tcBorders>
                    <w:tl2br w:val="nil"/>
                    <w:tr2bl w:val="nil"/>
                  </w:tcBorders>
                  <w:shd w:val="clear" w:color="auto" w:fill="auto"/>
                  <w:vAlign w:val="center"/>
                </w:tcPr>
                <w:p w14:paraId="6D09FD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排放口类型</w:t>
                  </w:r>
                </w:p>
              </w:tc>
              <w:tc>
                <w:tcPr>
                  <w:tcW w:w="419" w:type="pct"/>
                  <w:vMerge w:val="restart"/>
                  <w:tcBorders>
                    <w:tl2br w:val="nil"/>
                    <w:tr2bl w:val="nil"/>
                  </w:tcBorders>
                  <w:shd w:val="clear" w:color="auto" w:fill="auto"/>
                  <w:vAlign w:val="center"/>
                </w:tcPr>
                <w:p w14:paraId="204E75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排放时间</w:t>
                  </w:r>
                </w:p>
              </w:tc>
            </w:tr>
            <w:tr w14:paraId="2B71BF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388" w:type="pct"/>
                  <w:vMerge w:val="continue"/>
                  <w:tcBorders>
                    <w:tl2br w:val="nil"/>
                    <w:tr2bl w:val="nil"/>
                  </w:tcBorders>
                  <w:shd w:val="clear" w:color="auto" w:fill="auto"/>
                  <w:vAlign w:val="center"/>
                </w:tcPr>
                <w:p w14:paraId="28419C9C">
                  <w:pPr>
                    <w:jc w:val="center"/>
                    <w:rPr>
                      <w:rFonts w:hint="eastAsia" w:ascii="仿宋" w:hAnsi="仿宋" w:eastAsia="仿宋" w:cs="仿宋"/>
                      <w:i w:val="0"/>
                      <w:iCs w:val="0"/>
                      <w:color w:val="000000"/>
                      <w:sz w:val="21"/>
                      <w:szCs w:val="21"/>
                      <w:u w:val="none"/>
                    </w:rPr>
                  </w:pPr>
                </w:p>
              </w:tc>
              <w:tc>
                <w:tcPr>
                  <w:tcW w:w="320" w:type="pct"/>
                  <w:vMerge w:val="continue"/>
                  <w:tcBorders>
                    <w:tl2br w:val="nil"/>
                    <w:tr2bl w:val="nil"/>
                  </w:tcBorders>
                  <w:shd w:val="clear" w:color="auto" w:fill="auto"/>
                  <w:vAlign w:val="center"/>
                </w:tcPr>
                <w:p w14:paraId="19FB6DAF">
                  <w:pPr>
                    <w:jc w:val="center"/>
                    <w:rPr>
                      <w:rFonts w:hint="eastAsia" w:ascii="仿宋" w:hAnsi="仿宋" w:eastAsia="仿宋" w:cs="仿宋"/>
                      <w:i w:val="0"/>
                      <w:iCs w:val="0"/>
                      <w:color w:val="000000"/>
                      <w:sz w:val="21"/>
                      <w:szCs w:val="21"/>
                      <w:u w:val="none"/>
                    </w:rPr>
                  </w:pPr>
                </w:p>
              </w:tc>
              <w:tc>
                <w:tcPr>
                  <w:tcW w:w="522" w:type="pct"/>
                  <w:tcBorders>
                    <w:tl2br w:val="nil"/>
                    <w:tr2bl w:val="nil"/>
                  </w:tcBorders>
                  <w:shd w:val="clear" w:color="auto" w:fill="auto"/>
                  <w:vAlign w:val="center"/>
                </w:tcPr>
                <w:p w14:paraId="64962D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经度</w:t>
                  </w:r>
                </w:p>
              </w:tc>
              <w:tc>
                <w:tcPr>
                  <w:tcW w:w="499" w:type="pct"/>
                  <w:tcBorders>
                    <w:tl2br w:val="nil"/>
                    <w:tr2bl w:val="nil"/>
                  </w:tcBorders>
                  <w:shd w:val="clear" w:color="auto" w:fill="auto"/>
                  <w:vAlign w:val="center"/>
                </w:tcPr>
                <w:p w14:paraId="0F765B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纬度</w:t>
                  </w:r>
                </w:p>
              </w:tc>
              <w:tc>
                <w:tcPr>
                  <w:tcW w:w="343" w:type="pct"/>
                  <w:vMerge w:val="continue"/>
                  <w:tcBorders>
                    <w:tl2br w:val="nil"/>
                    <w:tr2bl w:val="nil"/>
                  </w:tcBorders>
                  <w:shd w:val="clear" w:color="auto" w:fill="auto"/>
                  <w:vAlign w:val="center"/>
                </w:tcPr>
                <w:p w14:paraId="5C46C57F">
                  <w:pPr>
                    <w:jc w:val="center"/>
                    <w:rPr>
                      <w:rFonts w:hint="eastAsia" w:ascii="仿宋" w:hAnsi="仿宋" w:eastAsia="仿宋" w:cs="仿宋"/>
                      <w:i w:val="0"/>
                      <w:iCs w:val="0"/>
                      <w:color w:val="000000"/>
                      <w:sz w:val="21"/>
                      <w:szCs w:val="21"/>
                      <w:u w:val="none"/>
                    </w:rPr>
                  </w:pPr>
                </w:p>
              </w:tc>
              <w:tc>
                <w:tcPr>
                  <w:tcW w:w="392" w:type="pct"/>
                  <w:vMerge w:val="continue"/>
                  <w:tcBorders>
                    <w:tl2br w:val="nil"/>
                    <w:tr2bl w:val="nil"/>
                  </w:tcBorders>
                  <w:shd w:val="clear" w:color="auto" w:fill="auto"/>
                  <w:vAlign w:val="center"/>
                </w:tcPr>
                <w:p w14:paraId="226F8BDB">
                  <w:pPr>
                    <w:jc w:val="center"/>
                    <w:rPr>
                      <w:rFonts w:hint="eastAsia" w:ascii="仿宋" w:hAnsi="仿宋" w:eastAsia="仿宋" w:cs="仿宋"/>
                      <w:i w:val="0"/>
                      <w:iCs w:val="0"/>
                      <w:color w:val="000000"/>
                      <w:sz w:val="21"/>
                      <w:szCs w:val="21"/>
                      <w:u w:val="none"/>
                    </w:rPr>
                  </w:pPr>
                </w:p>
              </w:tc>
              <w:tc>
                <w:tcPr>
                  <w:tcW w:w="518" w:type="pct"/>
                  <w:vMerge w:val="continue"/>
                  <w:tcBorders>
                    <w:tl2br w:val="nil"/>
                    <w:tr2bl w:val="nil"/>
                  </w:tcBorders>
                  <w:shd w:val="clear" w:color="auto" w:fill="auto"/>
                  <w:vAlign w:val="center"/>
                </w:tcPr>
                <w:p w14:paraId="641EC064">
                  <w:pPr>
                    <w:jc w:val="center"/>
                    <w:rPr>
                      <w:rFonts w:hint="eastAsia" w:ascii="仿宋" w:hAnsi="仿宋" w:eastAsia="仿宋" w:cs="仿宋"/>
                      <w:i w:val="0"/>
                      <w:iCs w:val="0"/>
                      <w:color w:val="000000"/>
                      <w:sz w:val="21"/>
                      <w:szCs w:val="21"/>
                      <w:u w:val="none"/>
                    </w:rPr>
                  </w:pPr>
                </w:p>
              </w:tc>
              <w:tc>
                <w:tcPr>
                  <w:tcW w:w="348" w:type="pct"/>
                  <w:vMerge w:val="continue"/>
                  <w:tcBorders>
                    <w:tl2br w:val="nil"/>
                    <w:tr2bl w:val="nil"/>
                  </w:tcBorders>
                  <w:shd w:val="clear" w:color="auto" w:fill="auto"/>
                  <w:vAlign w:val="center"/>
                </w:tcPr>
                <w:p w14:paraId="53BE7049">
                  <w:pPr>
                    <w:jc w:val="center"/>
                    <w:rPr>
                      <w:rFonts w:hint="eastAsia" w:ascii="仿宋" w:hAnsi="仿宋" w:eastAsia="仿宋" w:cs="仿宋"/>
                      <w:i w:val="0"/>
                      <w:iCs w:val="0"/>
                      <w:color w:val="000000"/>
                      <w:sz w:val="21"/>
                      <w:szCs w:val="21"/>
                      <w:u w:val="none"/>
                    </w:rPr>
                  </w:pPr>
                </w:p>
              </w:tc>
              <w:tc>
                <w:tcPr>
                  <w:tcW w:w="717" w:type="pct"/>
                  <w:vMerge w:val="continue"/>
                  <w:tcBorders>
                    <w:tl2br w:val="nil"/>
                    <w:tr2bl w:val="nil"/>
                  </w:tcBorders>
                  <w:shd w:val="clear" w:color="auto" w:fill="auto"/>
                  <w:vAlign w:val="center"/>
                </w:tcPr>
                <w:p w14:paraId="6E91ECC8">
                  <w:pPr>
                    <w:jc w:val="center"/>
                    <w:rPr>
                      <w:rFonts w:hint="eastAsia" w:ascii="仿宋" w:hAnsi="仿宋" w:eastAsia="仿宋" w:cs="仿宋"/>
                      <w:i w:val="0"/>
                      <w:iCs w:val="0"/>
                      <w:color w:val="000000"/>
                      <w:sz w:val="21"/>
                      <w:szCs w:val="21"/>
                      <w:u w:val="none"/>
                    </w:rPr>
                  </w:pPr>
                </w:p>
              </w:tc>
              <w:tc>
                <w:tcPr>
                  <w:tcW w:w="529" w:type="pct"/>
                  <w:vMerge w:val="continue"/>
                  <w:tcBorders>
                    <w:tl2br w:val="nil"/>
                    <w:tr2bl w:val="nil"/>
                  </w:tcBorders>
                  <w:shd w:val="clear" w:color="auto" w:fill="auto"/>
                  <w:vAlign w:val="center"/>
                </w:tcPr>
                <w:p w14:paraId="7BB19EAB">
                  <w:pPr>
                    <w:jc w:val="center"/>
                    <w:rPr>
                      <w:rFonts w:hint="eastAsia" w:ascii="仿宋" w:hAnsi="仿宋" w:eastAsia="仿宋" w:cs="仿宋"/>
                      <w:i w:val="0"/>
                      <w:iCs w:val="0"/>
                      <w:color w:val="000000"/>
                      <w:sz w:val="21"/>
                      <w:szCs w:val="21"/>
                      <w:u w:val="none"/>
                    </w:rPr>
                  </w:pPr>
                </w:p>
              </w:tc>
              <w:tc>
                <w:tcPr>
                  <w:tcW w:w="419" w:type="pct"/>
                  <w:vMerge w:val="continue"/>
                  <w:tcBorders>
                    <w:tl2br w:val="nil"/>
                    <w:tr2bl w:val="nil"/>
                  </w:tcBorders>
                  <w:shd w:val="clear" w:color="auto" w:fill="auto"/>
                  <w:vAlign w:val="center"/>
                </w:tcPr>
                <w:p w14:paraId="66A760B9">
                  <w:pPr>
                    <w:jc w:val="center"/>
                    <w:rPr>
                      <w:rFonts w:hint="eastAsia" w:ascii="仿宋" w:hAnsi="仿宋" w:eastAsia="仿宋" w:cs="仿宋"/>
                      <w:i w:val="0"/>
                      <w:iCs w:val="0"/>
                      <w:color w:val="000000"/>
                      <w:sz w:val="21"/>
                      <w:szCs w:val="21"/>
                      <w:u w:val="none"/>
                    </w:rPr>
                  </w:pPr>
                </w:p>
              </w:tc>
            </w:tr>
            <w:tr w14:paraId="537415D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05" w:hRule="atLeast"/>
                <w:jc w:val="center"/>
              </w:trPr>
              <w:tc>
                <w:tcPr>
                  <w:tcW w:w="388" w:type="pct"/>
                  <w:tcBorders>
                    <w:tl2br w:val="nil"/>
                    <w:tr2bl w:val="nil"/>
                  </w:tcBorders>
                  <w:shd w:val="clear" w:color="auto" w:fill="auto"/>
                  <w:vAlign w:val="center"/>
                </w:tcPr>
                <w:p w14:paraId="1D6478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320" w:type="pct"/>
                  <w:tcBorders>
                    <w:tl2br w:val="nil"/>
                    <w:tr2bl w:val="nil"/>
                  </w:tcBorders>
                  <w:shd w:val="clear" w:color="auto" w:fill="auto"/>
                  <w:vAlign w:val="center"/>
                </w:tcPr>
                <w:p w14:paraId="5A019E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DA001</w:t>
                  </w:r>
                </w:p>
              </w:tc>
              <w:tc>
                <w:tcPr>
                  <w:tcW w:w="522" w:type="pct"/>
                  <w:tcBorders>
                    <w:tl2br w:val="nil"/>
                    <w:tr2bl w:val="nil"/>
                  </w:tcBorders>
                  <w:shd w:val="clear" w:color="auto" w:fill="auto"/>
                  <w:vAlign w:val="center"/>
                </w:tcPr>
                <w:p w14:paraId="2961D0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117.132663</w:t>
                  </w:r>
                </w:p>
              </w:tc>
              <w:tc>
                <w:tcPr>
                  <w:tcW w:w="499" w:type="pct"/>
                  <w:tcBorders>
                    <w:tl2br w:val="nil"/>
                    <w:tr2bl w:val="nil"/>
                  </w:tcBorders>
                  <w:shd w:val="clear" w:color="auto" w:fill="auto"/>
                  <w:vAlign w:val="center"/>
                </w:tcPr>
                <w:p w14:paraId="59CEA9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 xml:space="preserve"> 32.723561</w:t>
                  </w:r>
                </w:p>
              </w:tc>
              <w:tc>
                <w:tcPr>
                  <w:tcW w:w="343" w:type="pct"/>
                  <w:tcBorders>
                    <w:tl2br w:val="nil"/>
                    <w:tr2bl w:val="nil"/>
                  </w:tcBorders>
                  <w:shd w:val="clear" w:color="auto" w:fill="auto"/>
                  <w:vAlign w:val="center"/>
                </w:tcPr>
                <w:p w14:paraId="1A31DA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392" w:type="pct"/>
                  <w:tcBorders>
                    <w:tl2br w:val="nil"/>
                    <w:tr2bl w:val="nil"/>
                  </w:tcBorders>
                  <w:shd w:val="clear" w:color="auto" w:fill="auto"/>
                  <w:vAlign w:val="center"/>
                </w:tcPr>
                <w:p w14:paraId="4487F99B">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0.45</w:t>
                  </w:r>
                </w:p>
              </w:tc>
              <w:tc>
                <w:tcPr>
                  <w:tcW w:w="518" w:type="pct"/>
                  <w:tcBorders>
                    <w:tl2br w:val="nil"/>
                    <w:tr2bl w:val="nil"/>
                  </w:tcBorders>
                  <w:shd w:val="clear" w:color="auto" w:fill="auto"/>
                  <w:vAlign w:val="center"/>
                </w:tcPr>
                <w:p w14:paraId="5D0DD491">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12.28</w:t>
                  </w:r>
                </w:p>
              </w:tc>
              <w:tc>
                <w:tcPr>
                  <w:tcW w:w="348" w:type="pct"/>
                  <w:tcBorders>
                    <w:tl2br w:val="nil"/>
                    <w:tr2bl w:val="nil"/>
                  </w:tcBorders>
                  <w:shd w:val="clear" w:color="auto" w:fill="auto"/>
                  <w:vAlign w:val="center"/>
                </w:tcPr>
                <w:p w14:paraId="68672F14">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25</w:t>
                  </w:r>
                </w:p>
              </w:tc>
              <w:tc>
                <w:tcPr>
                  <w:tcW w:w="717" w:type="pct"/>
                  <w:tcBorders>
                    <w:tl2br w:val="nil"/>
                    <w:tr2bl w:val="nil"/>
                  </w:tcBorders>
                  <w:shd w:val="clear" w:color="auto" w:fill="auto"/>
                  <w:vAlign w:val="center"/>
                </w:tcPr>
                <w:p w14:paraId="621AA9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颗粒物</w:t>
                  </w:r>
                </w:p>
              </w:tc>
              <w:tc>
                <w:tcPr>
                  <w:tcW w:w="529" w:type="pct"/>
                  <w:tcBorders>
                    <w:tl2br w:val="nil"/>
                    <w:tr2bl w:val="nil"/>
                  </w:tcBorders>
                  <w:shd w:val="clear" w:color="auto" w:fill="auto"/>
                  <w:vAlign w:val="center"/>
                </w:tcPr>
                <w:p w14:paraId="7A7681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一般排放口</w:t>
                  </w:r>
                </w:p>
              </w:tc>
              <w:tc>
                <w:tcPr>
                  <w:tcW w:w="419" w:type="pct"/>
                  <w:tcBorders>
                    <w:tl2br w:val="nil"/>
                    <w:tr2bl w:val="nil"/>
                  </w:tcBorders>
                  <w:shd w:val="clear" w:color="auto" w:fill="auto"/>
                  <w:vAlign w:val="center"/>
                </w:tcPr>
                <w:p w14:paraId="7C69D1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7920h</w:t>
                  </w:r>
                </w:p>
              </w:tc>
            </w:tr>
            <w:tr w14:paraId="59EB6E9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30" w:hRule="atLeast"/>
                <w:jc w:val="center"/>
              </w:trPr>
              <w:tc>
                <w:tcPr>
                  <w:tcW w:w="388" w:type="pct"/>
                  <w:tcBorders>
                    <w:tl2br w:val="nil"/>
                    <w:tr2bl w:val="nil"/>
                  </w:tcBorders>
                  <w:shd w:val="clear" w:color="auto" w:fill="auto"/>
                  <w:vAlign w:val="center"/>
                </w:tcPr>
                <w:p w14:paraId="77183C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320" w:type="pct"/>
                  <w:tcBorders>
                    <w:tl2br w:val="nil"/>
                    <w:tr2bl w:val="nil"/>
                  </w:tcBorders>
                  <w:shd w:val="clear" w:color="auto" w:fill="auto"/>
                  <w:vAlign w:val="center"/>
                </w:tcPr>
                <w:p w14:paraId="5446A2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DA002</w:t>
                  </w:r>
                </w:p>
              </w:tc>
              <w:tc>
                <w:tcPr>
                  <w:tcW w:w="522" w:type="pct"/>
                  <w:tcBorders>
                    <w:tl2br w:val="nil"/>
                    <w:tr2bl w:val="nil"/>
                  </w:tcBorders>
                  <w:shd w:val="clear" w:color="auto" w:fill="auto"/>
                  <w:vAlign w:val="center"/>
                </w:tcPr>
                <w:p w14:paraId="449843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117.1322715</w:t>
                  </w:r>
                </w:p>
              </w:tc>
              <w:tc>
                <w:tcPr>
                  <w:tcW w:w="499" w:type="pct"/>
                  <w:tcBorders>
                    <w:tl2br w:val="nil"/>
                    <w:tr2bl w:val="nil"/>
                  </w:tcBorders>
                  <w:shd w:val="clear" w:color="auto" w:fill="auto"/>
                  <w:vAlign w:val="center"/>
                </w:tcPr>
                <w:p w14:paraId="458B05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32.723363</w:t>
                  </w:r>
                </w:p>
              </w:tc>
              <w:tc>
                <w:tcPr>
                  <w:tcW w:w="343" w:type="pct"/>
                  <w:tcBorders>
                    <w:tl2br w:val="nil"/>
                    <w:tr2bl w:val="nil"/>
                  </w:tcBorders>
                  <w:shd w:val="clear" w:color="auto" w:fill="auto"/>
                  <w:vAlign w:val="center"/>
                </w:tcPr>
                <w:p w14:paraId="7D758F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392" w:type="pct"/>
                  <w:tcBorders>
                    <w:tl2br w:val="nil"/>
                    <w:tr2bl w:val="nil"/>
                  </w:tcBorders>
                  <w:shd w:val="clear" w:color="auto" w:fill="auto"/>
                  <w:vAlign w:val="center"/>
                </w:tcPr>
                <w:p w14:paraId="45783BAF">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0.65</w:t>
                  </w:r>
                </w:p>
              </w:tc>
              <w:tc>
                <w:tcPr>
                  <w:tcW w:w="518" w:type="pct"/>
                  <w:tcBorders>
                    <w:tl2br w:val="nil"/>
                    <w:tr2bl w:val="nil"/>
                  </w:tcBorders>
                  <w:shd w:val="clear" w:color="auto" w:fill="auto"/>
                  <w:vAlign w:val="center"/>
                </w:tcPr>
                <w:p w14:paraId="1DD814D7">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12.6</w:t>
                  </w:r>
                </w:p>
              </w:tc>
              <w:tc>
                <w:tcPr>
                  <w:tcW w:w="348" w:type="pct"/>
                  <w:tcBorders>
                    <w:tl2br w:val="nil"/>
                    <w:tr2bl w:val="nil"/>
                  </w:tcBorders>
                  <w:shd w:val="clear" w:color="auto" w:fill="auto"/>
                  <w:vAlign w:val="center"/>
                </w:tcPr>
                <w:p w14:paraId="6620DB8D">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25</w:t>
                  </w:r>
                </w:p>
              </w:tc>
              <w:tc>
                <w:tcPr>
                  <w:tcW w:w="717" w:type="pct"/>
                  <w:tcBorders>
                    <w:tl2br w:val="nil"/>
                    <w:tr2bl w:val="nil"/>
                  </w:tcBorders>
                  <w:shd w:val="clear" w:color="auto" w:fill="auto"/>
                  <w:vAlign w:val="center"/>
                </w:tcPr>
                <w:p w14:paraId="07121910">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硫化氢、氨、臭气浓度</w:t>
                  </w:r>
                </w:p>
              </w:tc>
              <w:tc>
                <w:tcPr>
                  <w:tcW w:w="529" w:type="pct"/>
                  <w:tcBorders>
                    <w:tl2br w:val="nil"/>
                    <w:tr2bl w:val="nil"/>
                  </w:tcBorders>
                  <w:shd w:val="clear" w:color="auto" w:fill="auto"/>
                  <w:vAlign w:val="center"/>
                </w:tcPr>
                <w:p w14:paraId="67AA25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一般排放口</w:t>
                  </w:r>
                </w:p>
              </w:tc>
              <w:tc>
                <w:tcPr>
                  <w:tcW w:w="419" w:type="pct"/>
                  <w:tcBorders>
                    <w:tl2br w:val="nil"/>
                    <w:tr2bl w:val="nil"/>
                  </w:tcBorders>
                  <w:shd w:val="clear" w:color="auto" w:fill="auto"/>
                  <w:vAlign w:val="center"/>
                </w:tcPr>
                <w:p w14:paraId="35DFEA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7920h</w:t>
                  </w:r>
                </w:p>
              </w:tc>
            </w:tr>
          </w:tbl>
          <w:p w14:paraId="7C7AB5E9">
            <w:pPr>
              <w:pStyle w:val="28"/>
              <w:spacing w:before="0" w:beforeAutospacing="0" w:after="0" w:afterAutospacing="0"/>
              <w:jc w:val="center"/>
              <w:outlineLvl w:val="0"/>
              <w:rPr>
                <w:rFonts w:hint="eastAsia" w:ascii="仿宋" w:hAnsi="仿宋" w:eastAsia="仿宋" w:cs="仿宋"/>
                <w:b/>
                <w:bCs/>
                <w:snapToGrid w:val="0"/>
                <w:color w:val="auto"/>
                <w:sz w:val="21"/>
                <w:szCs w:val="21"/>
                <w:vertAlign w:val="baseline"/>
                <w:lang w:val="en-US" w:eastAsia="zh-CN"/>
              </w:rPr>
            </w:pPr>
            <w:r>
              <w:rPr>
                <w:rFonts w:hint="eastAsia" w:ascii="仿宋" w:hAnsi="仿宋" w:eastAsia="仿宋" w:cs="仿宋"/>
                <w:b/>
                <w:bCs/>
                <w:snapToGrid w:val="0"/>
                <w:color w:val="auto"/>
                <w:sz w:val="21"/>
                <w:szCs w:val="21"/>
                <w:vertAlign w:val="baseline"/>
                <w:lang w:val="en-US" w:eastAsia="zh-CN"/>
              </w:rPr>
              <w:t xml:space="preserve">表4-4 </w:t>
            </w:r>
            <w:r>
              <w:rPr>
                <w:rFonts w:hint="eastAsia" w:ascii="仿宋" w:hAnsi="仿宋" w:eastAsia="仿宋" w:cs="仿宋"/>
                <w:b/>
                <w:color w:val="auto"/>
                <w:spacing w:val="0"/>
                <w:kern w:val="2"/>
                <w:sz w:val="24"/>
                <w:szCs w:val="24"/>
                <w:lang w:val="en-US" w:eastAsia="zh-CN" w:bidi="ar-SA"/>
              </w:rPr>
              <w:t xml:space="preserve"> </w:t>
            </w:r>
            <w:r>
              <w:rPr>
                <w:rFonts w:hint="eastAsia" w:ascii="仿宋" w:hAnsi="仿宋" w:eastAsia="仿宋" w:cs="仿宋"/>
                <w:b/>
                <w:bCs/>
                <w:snapToGrid w:val="0"/>
                <w:color w:val="auto"/>
                <w:sz w:val="21"/>
                <w:szCs w:val="21"/>
                <w:vertAlign w:val="baseline"/>
                <w:lang w:val="en-US" w:eastAsia="zh-CN"/>
              </w:rPr>
              <w:t>无组织排放情况表</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57"/>
              <w:gridCol w:w="1737"/>
              <w:gridCol w:w="1315"/>
              <w:gridCol w:w="836"/>
              <w:gridCol w:w="750"/>
              <w:gridCol w:w="1000"/>
              <w:gridCol w:w="850"/>
              <w:gridCol w:w="1048"/>
              <w:gridCol w:w="925"/>
              <w:gridCol w:w="1048"/>
              <w:gridCol w:w="960"/>
              <w:gridCol w:w="1016"/>
              <w:gridCol w:w="989"/>
            </w:tblGrid>
            <w:tr w14:paraId="78E241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8" w:hRule="atLeast"/>
                <w:jc w:val="center"/>
              </w:trPr>
              <w:tc>
                <w:tcPr>
                  <w:tcW w:w="356" w:type="pct"/>
                  <w:vMerge w:val="restart"/>
                  <w:tcBorders>
                    <w:tl2br w:val="nil"/>
                    <w:tr2bl w:val="nil"/>
                  </w:tcBorders>
                  <w:shd w:val="clear" w:color="auto" w:fill="auto"/>
                  <w:vAlign w:val="center"/>
                </w:tcPr>
                <w:p w14:paraId="1BCC46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名称</w:t>
                  </w:r>
                </w:p>
              </w:tc>
              <w:tc>
                <w:tcPr>
                  <w:tcW w:w="1135" w:type="pct"/>
                  <w:gridSpan w:val="2"/>
                  <w:tcBorders>
                    <w:tl2br w:val="nil"/>
                    <w:tr2bl w:val="nil"/>
                  </w:tcBorders>
                  <w:shd w:val="clear" w:color="auto" w:fill="auto"/>
                  <w:vAlign w:val="center"/>
                </w:tcPr>
                <w:p w14:paraId="738FEE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排放源中心经纬度</w:t>
                  </w:r>
                </w:p>
              </w:tc>
              <w:tc>
                <w:tcPr>
                  <w:tcW w:w="311" w:type="pct"/>
                  <w:vMerge w:val="restart"/>
                  <w:tcBorders>
                    <w:tl2br w:val="nil"/>
                    <w:tr2bl w:val="nil"/>
                  </w:tcBorders>
                  <w:shd w:val="clear" w:color="auto" w:fill="auto"/>
                  <w:vAlign w:val="center"/>
                </w:tcPr>
                <w:p w14:paraId="5B0B88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面源长度m</w:t>
                  </w:r>
                </w:p>
              </w:tc>
              <w:tc>
                <w:tcPr>
                  <w:tcW w:w="279" w:type="pct"/>
                  <w:vMerge w:val="restart"/>
                  <w:tcBorders>
                    <w:tl2br w:val="nil"/>
                    <w:tr2bl w:val="nil"/>
                  </w:tcBorders>
                  <w:shd w:val="clear" w:color="auto" w:fill="auto"/>
                  <w:vAlign w:val="center"/>
                </w:tcPr>
                <w:p w14:paraId="2B3A12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面源宽度m</w:t>
                  </w:r>
                </w:p>
              </w:tc>
              <w:tc>
                <w:tcPr>
                  <w:tcW w:w="372" w:type="pct"/>
                  <w:vMerge w:val="restart"/>
                  <w:tcBorders>
                    <w:tl2br w:val="nil"/>
                    <w:tr2bl w:val="nil"/>
                  </w:tcBorders>
                  <w:shd w:val="clear" w:color="auto" w:fill="auto"/>
                  <w:vAlign w:val="center"/>
                </w:tcPr>
                <w:p w14:paraId="466000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面源有效排放高度m</w:t>
                  </w:r>
                </w:p>
              </w:tc>
              <w:tc>
                <w:tcPr>
                  <w:tcW w:w="316" w:type="pct"/>
                  <w:vMerge w:val="restart"/>
                  <w:tcBorders>
                    <w:tl2br w:val="nil"/>
                    <w:tr2bl w:val="nil"/>
                  </w:tcBorders>
                  <w:shd w:val="clear" w:color="auto" w:fill="auto"/>
                  <w:vAlign w:val="center"/>
                </w:tcPr>
                <w:p w14:paraId="1DC464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年排放小时数h</w:t>
                  </w:r>
                </w:p>
              </w:tc>
              <w:tc>
                <w:tcPr>
                  <w:tcW w:w="734" w:type="pct"/>
                  <w:gridSpan w:val="2"/>
                  <w:tcBorders>
                    <w:tl2br w:val="nil"/>
                    <w:tr2bl w:val="nil"/>
                  </w:tcBorders>
                  <w:shd w:val="clear" w:color="auto" w:fill="auto"/>
                  <w:vAlign w:val="center"/>
                </w:tcPr>
                <w:p w14:paraId="65ACCC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颗粒物</w:t>
                  </w:r>
                </w:p>
              </w:tc>
              <w:tc>
                <w:tcPr>
                  <w:tcW w:w="747" w:type="pct"/>
                  <w:gridSpan w:val="2"/>
                  <w:tcBorders>
                    <w:tl2br w:val="nil"/>
                    <w:tr2bl w:val="nil"/>
                  </w:tcBorders>
                  <w:shd w:val="clear" w:color="auto" w:fill="auto"/>
                  <w:vAlign w:val="center"/>
                </w:tcPr>
                <w:p w14:paraId="4994D3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硫化氢</w:t>
                  </w:r>
                </w:p>
              </w:tc>
              <w:tc>
                <w:tcPr>
                  <w:tcW w:w="746" w:type="pct"/>
                  <w:gridSpan w:val="2"/>
                  <w:tcBorders>
                    <w:tl2br w:val="nil"/>
                    <w:tr2bl w:val="nil"/>
                  </w:tcBorders>
                  <w:shd w:val="clear" w:color="auto" w:fill="auto"/>
                  <w:vAlign w:val="center"/>
                </w:tcPr>
                <w:p w14:paraId="1FD92A15">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氨</w:t>
                  </w:r>
                </w:p>
              </w:tc>
            </w:tr>
            <w:tr w14:paraId="28E913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356" w:type="pct"/>
                  <w:vMerge w:val="continue"/>
                  <w:tcBorders>
                    <w:tl2br w:val="nil"/>
                    <w:tr2bl w:val="nil"/>
                  </w:tcBorders>
                  <w:shd w:val="clear" w:color="auto" w:fill="auto"/>
                  <w:vAlign w:val="center"/>
                </w:tcPr>
                <w:p w14:paraId="06A29FB7">
                  <w:pPr>
                    <w:jc w:val="center"/>
                    <w:rPr>
                      <w:rFonts w:hint="eastAsia" w:ascii="仿宋" w:hAnsi="仿宋" w:eastAsia="仿宋" w:cs="仿宋"/>
                      <w:i w:val="0"/>
                      <w:iCs w:val="0"/>
                      <w:color w:val="000000"/>
                      <w:sz w:val="21"/>
                      <w:szCs w:val="21"/>
                      <w:u w:val="none"/>
                    </w:rPr>
                  </w:pPr>
                </w:p>
              </w:tc>
              <w:tc>
                <w:tcPr>
                  <w:tcW w:w="646" w:type="pct"/>
                  <w:tcBorders>
                    <w:tl2br w:val="nil"/>
                    <w:tr2bl w:val="nil"/>
                  </w:tcBorders>
                  <w:shd w:val="clear" w:color="auto" w:fill="auto"/>
                  <w:vAlign w:val="center"/>
                </w:tcPr>
                <w:p w14:paraId="32CB4D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经度E°</w:t>
                  </w:r>
                </w:p>
              </w:tc>
              <w:tc>
                <w:tcPr>
                  <w:tcW w:w="488" w:type="pct"/>
                  <w:tcBorders>
                    <w:tl2br w:val="nil"/>
                    <w:tr2bl w:val="nil"/>
                  </w:tcBorders>
                  <w:shd w:val="clear" w:color="auto" w:fill="auto"/>
                  <w:vAlign w:val="center"/>
                </w:tcPr>
                <w:p w14:paraId="1BF0D4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纬度N°</w:t>
                  </w:r>
                </w:p>
              </w:tc>
              <w:tc>
                <w:tcPr>
                  <w:tcW w:w="311" w:type="pct"/>
                  <w:vMerge w:val="continue"/>
                  <w:tcBorders>
                    <w:tl2br w:val="nil"/>
                    <w:tr2bl w:val="nil"/>
                  </w:tcBorders>
                  <w:shd w:val="clear" w:color="auto" w:fill="auto"/>
                  <w:vAlign w:val="center"/>
                </w:tcPr>
                <w:p w14:paraId="5806148A">
                  <w:pPr>
                    <w:jc w:val="center"/>
                    <w:rPr>
                      <w:rFonts w:hint="eastAsia" w:ascii="仿宋" w:hAnsi="仿宋" w:eastAsia="仿宋" w:cs="仿宋"/>
                      <w:i w:val="0"/>
                      <w:iCs w:val="0"/>
                      <w:color w:val="000000"/>
                      <w:sz w:val="21"/>
                      <w:szCs w:val="21"/>
                      <w:u w:val="none"/>
                    </w:rPr>
                  </w:pPr>
                </w:p>
              </w:tc>
              <w:tc>
                <w:tcPr>
                  <w:tcW w:w="279" w:type="pct"/>
                  <w:vMerge w:val="continue"/>
                  <w:tcBorders>
                    <w:tl2br w:val="nil"/>
                    <w:tr2bl w:val="nil"/>
                  </w:tcBorders>
                  <w:shd w:val="clear" w:color="auto" w:fill="auto"/>
                  <w:vAlign w:val="center"/>
                </w:tcPr>
                <w:p w14:paraId="2A8FFDBD">
                  <w:pPr>
                    <w:jc w:val="center"/>
                    <w:rPr>
                      <w:rFonts w:hint="eastAsia" w:ascii="仿宋" w:hAnsi="仿宋" w:eastAsia="仿宋" w:cs="仿宋"/>
                      <w:i w:val="0"/>
                      <w:iCs w:val="0"/>
                      <w:color w:val="000000"/>
                      <w:sz w:val="21"/>
                      <w:szCs w:val="21"/>
                      <w:u w:val="none"/>
                    </w:rPr>
                  </w:pPr>
                </w:p>
              </w:tc>
              <w:tc>
                <w:tcPr>
                  <w:tcW w:w="372" w:type="pct"/>
                  <w:vMerge w:val="continue"/>
                  <w:tcBorders>
                    <w:tl2br w:val="nil"/>
                    <w:tr2bl w:val="nil"/>
                  </w:tcBorders>
                  <w:shd w:val="clear" w:color="auto" w:fill="auto"/>
                  <w:vAlign w:val="center"/>
                </w:tcPr>
                <w:p w14:paraId="05BAD433">
                  <w:pPr>
                    <w:jc w:val="center"/>
                    <w:rPr>
                      <w:rFonts w:hint="eastAsia" w:ascii="仿宋" w:hAnsi="仿宋" w:eastAsia="仿宋" w:cs="仿宋"/>
                      <w:i w:val="0"/>
                      <w:iCs w:val="0"/>
                      <w:color w:val="000000"/>
                      <w:sz w:val="21"/>
                      <w:szCs w:val="21"/>
                      <w:u w:val="none"/>
                    </w:rPr>
                  </w:pPr>
                </w:p>
              </w:tc>
              <w:tc>
                <w:tcPr>
                  <w:tcW w:w="316" w:type="pct"/>
                  <w:vMerge w:val="continue"/>
                  <w:tcBorders>
                    <w:tl2br w:val="nil"/>
                    <w:tr2bl w:val="nil"/>
                  </w:tcBorders>
                  <w:shd w:val="clear" w:color="auto" w:fill="auto"/>
                  <w:vAlign w:val="center"/>
                </w:tcPr>
                <w:p w14:paraId="3EB8065E">
                  <w:pPr>
                    <w:jc w:val="center"/>
                    <w:rPr>
                      <w:rFonts w:hint="eastAsia" w:ascii="仿宋" w:hAnsi="仿宋" w:eastAsia="仿宋" w:cs="仿宋"/>
                      <w:i w:val="0"/>
                      <w:iCs w:val="0"/>
                      <w:color w:val="000000"/>
                      <w:sz w:val="21"/>
                      <w:szCs w:val="21"/>
                      <w:u w:val="none"/>
                    </w:rPr>
                  </w:pPr>
                </w:p>
              </w:tc>
              <w:tc>
                <w:tcPr>
                  <w:tcW w:w="390" w:type="pct"/>
                  <w:tcBorders>
                    <w:tl2br w:val="nil"/>
                    <w:tr2bl w:val="nil"/>
                  </w:tcBorders>
                  <w:shd w:val="clear" w:color="auto" w:fill="auto"/>
                  <w:vAlign w:val="center"/>
                </w:tcPr>
                <w:p w14:paraId="78F0D9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排放量t/a</w:t>
                  </w:r>
                </w:p>
              </w:tc>
              <w:tc>
                <w:tcPr>
                  <w:tcW w:w="344" w:type="pct"/>
                  <w:tcBorders>
                    <w:tl2br w:val="nil"/>
                    <w:tr2bl w:val="nil"/>
                  </w:tcBorders>
                  <w:shd w:val="clear" w:color="auto" w:fill="auto"/>
                  <w:vAlign w:val="center"/>
                </w:tcPr>
                <w:p w14:paraId="398A95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排放速率kg/h</w:t>
                  </w:r>
                </w:p>
              </w:tc>
              <w:tc>
                <w:tcPr>
                  <w:tcW w:w="390" w:type="pct"/>
                  <w:tcBorders>
                    <w:tl2br w:val="nil"/>
                    <w:tr2bl w:val="nil"/>
                  </w:tcBorders>
                  <w:shd w:val="clear" w:color="auto" w:fill="auto"/>
                  <w:vAlign w:val="center"/>
                </w:tcPr>
                <w:p w14:paraId="141AF4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排放量t/a</w:t>
                  </w:r>
                </w:p>
              </w:tc>
              <w:tc>
                <w:tcPr>
                  <w:tcW w:w="357" w:type="pct"/>
                  <w:tcBorders>
                    <w:tl2br w:val="nil"/>
                    <w:tr2bl w:val="nil"/>
                  </w:tcBorders>
                  <w:shd w:val="clear" w:color="auto" w:fill="auto"/>
                  <w:vAlign w:val="center"/>
                </w:tcPr>
                <w:p w14:paraId="07F50C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排放速率kg/h</w:t>
                  </w:r>
                </w:p>
              </w:tc>
              <w:tc>
                <w:tcPr>
                  <w:tcW w:w="378" w:type="pct"/>
                  <w:tcBorders>
                    <w:tl2br w:val="nil"/>
                    <w:tr2bl w:val="nil"/>
                  </w:tcBorders>
                  <w:shd w:val="clear" w:color="auto" w:fill="auto"/>
                  <w:vAlign w:val="center"/>
                </w:tcPr>
                <w:p w14:paraId="25335F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排放量t/a</w:t>
                  </w:r>
                </w:p>
              </w:tc>
              <w:tc>
                <w:tcPr>
                  <w:tcW w:w="367" w:type="pct"/>
                  <w:tcBorders>
                    <w:tl2br w:val="nil"/>
                    <w:tr2bl w:val="nil"/>
                  </w:tcBorders>
                  <w:shd w:val="clear" w:color="auto" w:fill="auto"/>
                  <w:vAlign w:val="center"/>
                </w:tcPr>
                <w:p w14:paraId="71AF4E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排放速率kg/h</w:t>
                  </w:r>
                </w:p>
              </w:tc>
            </w:tr>
            <w:tr w14:paraId="37329A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56" w:type="pct"/>
                  <w:tcBorders>
                    <w:tl2br w:val="nil"/>
                    <w:tr2bl w:val="nil"/>
                  </w:tcBorders>
                  <w:shd w:val="clear" w:color="auto" w:fill="auto"/>
                  <w:vAlign w:val="center"/>
                </w:tcPr>
                <w:p w14:paraId="66F7C1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生产车间</w:t>
                  </w:r>
                </w:p>
              </w:tc>
              <w:tc>
                <w:tcPr>
                  <w:tcW w:w="646" w:type="pct"/>
                  <w:tcBorders>
                    <w:tl2br w:val="nil"/>
                    <w:tr2bl w:val="nil"/>
                  </w:tcBorders>
                  <w:shd w:val="clear" w:color="auto" w:fill="auto"/>
                  <w:vAlign w:val="center"/>
                </w:tcPr>
                <w:p w14:paraId="4A6F6A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117.132448</w:t>
                  </w:r>
                </w:p>
              </w:tc>
              <w:tc>
                <w:tcPr>
                  <w:tcW w:w="488" w:type="pct"/>
                  <w:tcBorders>
                    <w:tl2br w:val="nil"/>
                    <w:tr2bl w:val="nil"/>
                  </w:tcBorders>
                  <w:shd w:val="clear" w:color="auto" w:fill="auto"/>
                  <w:vAlign w:val="center"/>
                </w:tcPr>
                <w:p w14:paraId="68A787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32.723679</w:t>
                  </w:r>
                </w:p>
              </w:tc>
              <w:tc>
                <w:tcPr>
                  <w:tcW w:w="311" w:type="pct"/>
                  <w:tcBorders>
                    <w:tl2br w:val="nil"/>
                    <w:tr2bl w:val="nil"/>
                  </w:tcBorders>
                  <w:shd w:val="clear" w:color="auto" w:fill="auto"/>
                  <w:vAlign w:val="center"/>
                </w:tcPr>
                <w:p w14:paraId="3F6D3F5F">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104.2</w:t>
                  </w:r>
                </w:p>
              </w:tc>
              <w:tc>
                <w:tcPr>
                  <w:tcW w:w="279" w:type="pct"/>
                  <w:tcBorders>
                    <w:tl2br w:val="nil"/>
                    <w:tr2bl w:val="nil"/>
                  </w:tcBorders>
                  <w:shd w:val="clear" w:color="auto" w:fill="auto"/>
                  <w:vAlign w:val="center"/>
                </w:tcPr>
                <w:p w14:paraId="09B1FF07">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31.8</w:t>
                  </w:r>
                </w:p>
              </w:tc>
              <w:tc>
                <w:tcPr>
                  <w:tcW w:w="372" w:type="pct"/>
                  <w:tcBorders>
                    <w:tl2br w:val="nil"/>
                    <w:tr2bl w:val="nil"/>
                  </w:tcBorders>
                  <w:shd w:val="clear" w:color="auto" w:fill="auto"/>
                  <w:vAlign w:val="center"/>
                </w:tcPr>
                <w:p w14:paraId="151FB7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316" w:type="pct"/>
                  <w:tcBorders>
                    <w:tl2br w:val="nil"/>
                    <w:tr2bl w:val="nil"/>
                  </w:tcBorders>
                  <w:shd w:val="clear" w:color="auto" w:fill="auto"/>
                  <w:vAlign w:val="center"/>
                </w:tcPr>
                <w:p w14:paraId="356B14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7920</w:t>
                  </w:r>
                </w:p>
              </w:tc>
              <w:tc>
                <w:tcPr>
                  <w:tcW w:w="1048" w:type="dxa"/>
                  <w:tcBorders>
                    <w:tl2br w:val="nil"/>
                    <w:tr2bl w:val="nil"/>
                  </w:tcBorders>
                  <w:shd w:val="clear" w:color="auto" w:fill="auto"/>
                  <w:vAlign w:val="center"/>
                </w:tcPr>
                <w:p w14:paraId="7ADD73C4">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21"/>
                      <w:szCs w:val="21"/>
                      <w:u w:val="none"/>
                      <w:lang w:val="en-US" w:eastAsia="zh-CN" w:bidi="ar"/>
                    </w:rPr>
                    <w:t>0.37</w:t>
                  </w:r>
                </w:p>
              </w:tc>
              <w:tc>
                <w:tcPr>
                  <w:tcW w:w="925" w:type="dxa"/>
                  <w:tcBorders>
                    <w:tl2br w:val="nil"/>
                    <w:tr2bl w:val="nil"/>
                  </w:tcBorders>
                  <w:shd w:val="clear" w:color="auto" w:fill="auto"/>
                  <w:vAlign w:val="center"/>
                </w:tcPr>
                <w:p w14:paraId="19E1337F">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21"/>
                      <w:szCs w:val="21"/>
                      <w:u w:val="none"/>
                      <w:lang w:val="en-US" w:eastAsia="zh-CN" w:bidi="ar"/>
                    </w:rPr>
                    <w:t>0.047</w:t>
                  </w:r>
                </w:p>
              </w:tc>
              <w:tc>
                <w:tcPr>
                  <w:tcW w:w="1048" w:type="dxa"/>
                  <w:tcBorders>
                    <w:tl2br w:val="nil"/>
                    <w:tr2bl w:val="nil"/>
                  </w:tcBorders>
                  <w:shd w:val="clear" w:color="auto" w:fill="auto"/>
                  <w:vAlign w:val="center"/>
                </w:tcPr>
                <w:p w14:paraId="39A6705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21"/>
                      <w:szCs w:val="21"/>
                      <w:u w:val="none"/>
                      <w:lang w:val="en-US" w:eastAsia="zh-CN" w:bidi="ar"/>
                    </w:rPr>
                    <w:t xml:space="preserve">0.045 </w:t>
                  </w:r>
                </w:p>
              </w:tc>
              <w:tc>
                <w:tcPr>
                  <w:tcW w:w="960" w:type="dxa"/>
                  <w:tcBorders>
                    <w:tl2br w:val="nil"/>
                    <w:tr2bl w:val="nil"/>
                  </w:tcBorders>
                  <w:shd w:val="clear" w:color="auto" w:fill="auto"/>
                  <w:vAlign w:val="center"/>
                </w:tcPr>
                <w:p w14:paraId="5172A2E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21"/>
                      <w:szCs w:val="21"/>
                      <w:u w:val="none"/>
                      <w:lang w:val="en-US" w:eastAsia="zh-CN" w:bidi="ar"/>
                    </w:rPr>
                    <w:t xml:space="preserve">0.006 </w:t>
                  </w:r>
                </w:p>
              </w:tc>
              <w:tc>
                <w:tcPr>
                  <w:tcW w:w="1016" w:type="dxa"/>
                  <w:tcBorders>
                    <w:tl2br w:val="nil"/>
                    <w:tr2bl w:val="nil"/>
                  </w:tcBorders>
                  <w:shd w:val="clear" w:color="auto" w:fill="auto"/>
                  <w:vAlign w:val="center"/>
                </w:tcPr>
                <w:p w14:paraId="006F4B8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21"/>
                      <w:szCs w:val="21"/>
                      <w:u w:val="none"/>
                      <w:lang w:val="en-US" w:eastAsia="zh-CN" w:bidi="ar"/>
                    </w:rPr>
                    <w:t xml:space="preserve">0.362 </w:t>
                  </w:r>
                </w:p>
              </w:tc>
              <w:tc>
                <w:tcPr>
                  <w:tcW w:w="989" w:type="dxa"/>
                  <w:tcBorders>
                    <w:tl2br w:val="nil"/>
                    <w:tr2bl w:val="nil"/>
                  </w:tcBorders>
                  <w:shd w:val="clear" w:color="auto" w:fill="auto"/>
                  <w:vAlign w:val="center"/>
                </w:tcPr>
                <w:p w14:paraId="6325ED5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21"/>
                      <w:szCs w:val="21"/>
                      <w:u w:val="none"/>
                      <w:lang w:val="en-US" w:eastAsia="zh-CN" w:bidi="ar"/>
                    </w:rPr>
                    <w:t xml:space="preserve">0.046 </w:t>
                  </w:r>
                </w:p>
              </w:tc>
            </w:tr>
          </w:tbl>
          <w:p w14:paraId="7A2443DE">
            <w:pPr>
              <w:pStyle w:val="28"/>
              <w:spacing w:before="0" w:beforeAutospacing="0" w:after="0" w:afterAutospacing="0"/>
              <w:jc w:val="both"/>
              <w:outlineLvl w:val="0"/>
              <w:rPr>
                <w:rFonts w:hint="default" w:ascii="仿宋" w:hAnsi="仿宋" w:eastAsia="仿宋" w:cs="仿宋"/>
                <w:snapToGrid w:val="0"/>
                <w:color w:val="auto"/>
                <w:sz w:val="30"/>
                <w:szCs w:val="30"/>
                <w:vertAlign w:val="baseline"/>
                <w:lang w:val="en-US" w:eastAsia="zh-CN"/>
              </w:rPr>
            </w:pPr>
            <w:r>
              <w:rPr>
                <w:rFonts w:hint="eastAsia" w:ascii="仿宋" w:hAnsi="仿宋" w:eastAsia="仿宋" w:cs="仿宋"/>
                <w:b/>
                <w:bCs/>
                <w:color w:val="000000"/>
                <w:kern w:val="0"/>
                <w:sz w:val="18"/>
                <w:szCs w:val="18"/>
                <w:lang w:val="en-US" w:eastAsia="zh-CN" w:bidi="ar"/>
              </w:rPr>
              <w:t>备注：未被收集的粉尘大部分会沉降在车间地面（本环评按90%沉降率计）</w:t>
            </w:r>
          </w:p>
        </w:tc>
      </w:tr>
    </w:tbl>
    <w:p w14:paraId="2E486FE2">
      <w:pPr>
        <w:pStyle w:val="28"/>
        <w:spacing w:before="0" w:beforeAutospacing="0" w:after="0" w:afterAutospacing="0"/>
        <w:jc w:val="both"/>
        <w:outlineLvl w:val="0"/>
        <w:rPr>
          <w:rFonts w:hint="eastAsia" w:ascii="仿宋" w:hAnsi="仿宋" w:eastAsia="仿宋" w:cs="仿宋"/>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639"/>
      </w:tblGrid>
      <w:tr w14:paraId="7D33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14:paraId="34B9D4ED">
            <w:pPr>
              <w:pStyle w:val="28"/>
              <w:spacing w:before="0" w:beforeAutospacing="0" w:after="0" w:afterAutospacing="0"/>
              <w:jc w:val="center"/>
              <w:outlineLvl w:val="0"/>
              <w:rPr>
                <w:rFonts w:hint="eastAsia" w:ascii="仿宋" w:hAnsi="仿宋" w:eastAsia="仿宋" w:cs="仿宋"/>
                <w:snapToGrid w:val="0"/>
                <w:color w:val="auto"/>
                <w:sz w:val="30"/>
                <w:szCs w:val="30"/>
                <w:vertAlign w:val="baseline"/>
              </w:rPr>
            </w:pPr>
            <w:r>
              <w:rPr>
                <w:rFonts w:hint="eastAsia" w:ascii="仿宋" w:hAnsi="仿宋" w:eastAsia="仿宋" w:cs="仿宋"/>
                <w:bCs/>
                <w:color w:val="auto"/>
                <w:sz w:val="24"/>
                <w:szCs w:val="24"/>
              </w:rPr>
              <w:t>运营期环境影响和保护措施</w:t>
            </w:r>
          </w:p>
        </w:tc>
        <w:tc>
          <w:tcPr>
            <w:tcW w:w="8639" w:type="dxa"/>
          </w:tcPr>
          <w:p w14:paraId="6F80CC8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（3）废气污染治理设施可行性分析</w:t>
            </w:r>
          </w:p>
          <w:p w14:paraId="03B2EF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本项目产生的废气主要有颗粒物、硫化氢和氨；污染防治技术参照《排污许可证申请与核发技术规范 磷肥、钾肥、复混肥料、有机肥料及微生物肥料工业》（HJ864.2-2018）表14可行技术，对比情况见下表：</w:t>
            </w:r>
          </w:p>
          <w:p w14:paraId="2E3505C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
                <w:bCs/>
              </w:rPr>
            </w:pPr>
            <w:r>
              <w:rPr>
                <w:rFonts w:hint="eastAsia" w:ascii="仿宋" w:hAnsi="仿宋" w:eastAsia="仿宋" w:cs="仿宋"/>
                <w:b/>
                <w:bCs/>
              </w:rPr>
              <w:t>表4-</w:t>
            </w:r>
            <w:r>
              <w:rPr>
                <w:rFonts w:hint="eastAsia" w:ascii="仿宋" w:hAnsi="仿宋" w:eastAsia="仿宋" w:cs="仿宋"/>
                <w:b/>
                <w:bCs/>
                <w:lang w:val="en-US" w:eastAsia="zh-CN"/>
              </w:rPr>
              <w:t>5</w:t>
            </w:r>
            <w:r>
              <w:rPr>
                <w:rFonts w:hint="eastAsia" w:ascii="仿宋" w:hAnsi="仿宋" w:eastAsia="仿宋" w:cs="仿宋"/>
                <w:b/>
                <w:bCs/>
              </w:rPr>
              <w:t xml:space="preserve">  生产线废气污染防治可行技术</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1492"/>
              <w:gridCol w:w="1494"/>
              <w:gridCol w:w="1241"/>
              <w:gridCol w:w="1492"/>
              <w:gridCol w:w="1492"/>
              <w:gridCol w:w="1209"/>
            </w:tblGrid>
            <w:tr w14:paraId="60B128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92" w:hRule="atLeast"/>
              </w:trPr>
              <w:tc>
                <w:tcPr>
                  <w:tcW w:w="1773" w:type="pct"/>
                  <w:gridSpan w:val="2"/>
                  <w:tcBorders>
                    <w:tl2br w:val="nil"/>
                    <w:tr2bl w:val="nil"/>
                  </w:tcBorders>
                  <w:shd w:val="clear" w:color="auto" w:fill="auto"/>
                  <w:vAlign w:val="center"/>
                </w:tcPr>
                <w:p w14:paraId="22D4583A">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生产单元或设施废气</w:t>
                  </w:r>
                </w:p>
              </w:tc>
              <w:tc>
                <w:tcPr>
                  <w:tcW w:w="737" w:type="pct"/>
                  <w:tcBorders>
                    <w:tl2br w:val="nil"/>
                    <w:tr2bl w:val="nil"/>
                  </w:tcBorders>
                  <w:shd w:val="clear" w:color="auto" w:fill="auto"/>
                  <w:vAlign w:val="center"/>
                </w:tcPr>
                <w:p w14:paraId="4D21E48F">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污染物</w:t>
                  </w:r>
                </w:p>
              </w:tc>
              <w:tc>
                <w:tcPr>
                  <w:tcW w:w="886" w:type="pct"/>
                  <w:tcBorders>
                    <w:tl2br w:val="nil"/>
                    <w:tr2bl w:val="nil"/>
                  </w:tcBorders>
                  <w:shd w:val="clear" w:color="auto" w:fill="auto"/>
                  <w:vAlign w:val="center"/>
                </w:tcPr>
                <w:p w14:paraId="6FF55FAC">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可行技术</w:t>
                  </w:r>
                </w:p>
              </w:tc>
              <w:tc>
                <w:tcPr>
                  <w:tcW w:w="886" w:type="pct"/>
                  <w:tcBorders>
                    <w:tl2br w:val="nil"/>
                    <w:tr2bl w:val="nil"/>
                  </w:tcBorders>
                  <w:shd w:val="clear" w:color="auto" w:fill="auto"/>
                  <w:vAlign w:val="center"/>
                </w:tcPr>
                <w:p w14:paraId="7D79A4EC">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本项目</w:t>
                  </w:r>
                </w:p>
              </w:tc>
              <w:tc>
                <w:tcPr>
                  <w:tcW w:w="717" w:type="pct"/>
                  <w:tcBorders>
                    <w:tl2br w:val="nil"/>
                    <w:tr2bl w:val="nil"/>
                  </w:tcBorders>
                  <w:shd w:val="clear" w:color="auto" w:fill="auto"/>
                  <w:vAlign w:val="center"/>
                </w:tcPr>
                <w:p w14:paraId="28BF8C1D">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是否为可行技术</w:t>
                  </w:r>
                </w:p>
              </w:tc>
            </w:tr>
            <w:tr w14:paraId="6956B2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trPr>
              <w:tc>
                <w:tcPr>
                  <w:tcW w:w="886" w:type="pct"/>
                  <w:tcBorders>
                    <w:tl2br w:val="nil"/>
                    <w:tr2bl w:val="nil"/>
                  </w:tcBorders>
                  <w:shd w:val="clear" w:color="auto" w:fill="auto"/>
                  <w:vAlign w:val="center"/>
                </w:tcPr>
                <w:p w14:paraId="61BF9DF7">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备</w:t>
                  </w:r>
                  <w:r>
                    <w:rPr>
                      <w:rStyle w:val="128"/>
                      <w:rFonts w:hint="eastAsia" w:ascii="仿宋" w:hAnsi="仿宋" w:eastAsia="仿宋" w:cs="仿宋"/>
                      <w:b w:val="0"/>
                      <w:bCs w:val="0"/>
                      <w:snapToGrid w:val="0"/>
                      <w:color w:val="000000"/>
                      <w:vertAlign w:val="baseline"/>
                      <w:lang w:val="en-US" w:eastAsia="zh-CN" w:bidi="ar"/>
                    </w:rPr>
                    <w:t>料</w:t>
                  </w:r>
                </w:p>
              </w:tc>
              <w:tc>
                <w:tcPr>
                  <w:tcW w:w="886" w:type="pct"/>
                  <w:tcBorders>
                    <w:tl2br w:val="nil"/>
                    <w:tr2bl w:val="nil"/>
                  </w:tcBorders>
                  <w:shd w:val="clear" w:color="auto" w:fill="auto"/>
                  <w:vAlign w:val="center"/>
                </w:tcPr>
                <w:p w14:paraId="2F17700E">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含尘废</w:t>
                  </w:r>
                  <w:r>
                    <w:rPr>
                      <w:rStyle w:val="128"/>
                      <w:rFonts w:hint="eastAsia" w:ascii="仿宋" w:hAnsi="仿宋" w:eastAsia="仿宋" w:cs="仿宋"/>
                      <w:b w:val="0"/>
                      <w:bCs w:val="0"/>
                      <w:snapToGrid w:val="0"/>
                      <w:color w:val="000000"/>
                      <w:vertAlign w:val="baseline"/>
                      <w:lang w:val="en-US" w:eastAsia="zh-CN" w:bidi="ar"/>
                    </w:rPr>
                    <w:t>气</w:t>
                  </w:r>
                </w:p>
              </w:tc>
              <w:tc>
                <w:tcPr>
                  <w:tcW w:w="737" w:type="pct"/>
                  <w:tcBorders>
                    <w:tl2br w:val="nil"/>
                    <w:tr2bl w:val="nil"/>
                  </w:tcBorders>
                  <w:shd w:val="clear" w:color="auto" w:fill="auto"/>
                  <w:vAlign w:val="center"/>
                </w:tcPr>
                <w:p w14:paraId="0622C8D4">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颗粒物</w:t>
                  </w:r>
                </w:p>
              </w:tc>
              <w:tc>
                <w:tcPr>
                  <w:tcW w:w="886" w:type="pct"/>
                  <w:tcBorders>
                    <w:tl2br w:val="nil"/>
                    <w:tr2bl w:val="nil"/>
                  </w:tcBorders>
                  <w:shd w:val="clear" w:color="auto" w:fill="auto"/>
                  <w:vAlign w:val="center"/>
                </w:tcPr>
                <w:p w14:paraId="487FAAFC">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袋式除</w:t>
                  </w:r>
                  <w:r>
                    <w:rPr>
                      <w:rStyle w:val="128"/>
                      <w:rFonts w:hint="eastAsia" w:ascii="仿宋" w:hAnsi="仿宋" w:eastAsia="仿宋" w:cs="仿宋"/>
                      <w:b w:val="0"/>
                      <w:bCs w:val="0"/>
                      <w:snapToGrid w:val="0"/>
                      <w:color w:val="000000"/>
                      <w:vertAlign w:val="baseline"/>
                      <w:lang w:val="en-US" w:eastAsia="zh-CN" w:bidi="ar"/>
                    </w:rPr>
                    <w:t>尘</w:t>
                  </w:r>
                </w:p>
              </w:tc>
              <w:tc>
                <w:tcPr>
                  <w:tcW w:w="886" w:type="pct"/>
                  <w:tcBorders>
                    <w:tl2br w:val="nil"/>
                    <w:tr2bl w:val="nil"/>
                  </w:tcBorders>
                  <w:shd w:val="clear" w:color="auto" w:fill="auto"/>
                  <w:vAlign w:val="center"/>
                </w:tcPr>
                <w:p w14:paraId="641F3F3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袋式除</w:t>
                  </w:r>
                  <w:r>
                    <w:rPr>
                      <w:rStyle w:val="128"/>
                      <w:rFonts w:hint="eastAsia" w:ascii="仿宋" w:hAnsi="仿宋" w:eastAsia="仿宋" w:cs="仿宋"/>
                      <w:b w:val="0"/>
                      <w:bCs w:val="0"/>
                      <w:snapToGrid w:val="0"/>
                      <w:color w:val="000000"/>
                      <w:vertAlign w:val="baseline"/>
                      <w:lang w:val="en-US" w:eastAsia="zh-CN" w:bidi="ar"/>
                    </w:rPr>
                    <w:t>尘</w:t>
                  </w:r>
                </w:p>
              </w:tc>
              <w:tc>
                <w:tcPr>
                  <w:tcW w:w="717" w:type="pct"/>
                  <w:tcBorders>
                    <w:tl2br w:val="nil"/>
                    <w:tr2bl w:val="nil"/>
                  </w:tcBorders>
                  <w:shd w:val="clear" w:color="auto" w:fill="auto"/>
                  <w:vAlign w:val="center"/>
                </w:tcPr>
                <w:p w14:paraId="3863C12A">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是</w:t>
                  </w:r>
                </w:p>
              </w:tc>
            </w:tr>
            <w:tr w14:paraId="5F241E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trPr>
              <w:tc>
                <w:tcPr>
                  <w:tcW w:w="886" w:type="pct"/>
                  <w:tcBorders>
                    <w:tl2br w:val="nil"/>
                    <w:tr2bl w:val="nil"/>
                  </w:tcBorders>
                  <w:shd w:val="clear" w:color="auto" w:fill="auto"/>
                  <w:vAlign w:val="center"/>
                </w:tcPr>
                <w:p w14:paraId="5325BB4A">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发</w:t>
                  </w:r>
                  <w:r>
                    <w:rPr>
                      <w:rStyle w:val="128"/>
                      <w:rFonts w:hint="eastAsia" w:ascii="仿宋" w:hAnsi="仿宋" w:eastAsia="仿宋" w:cs="仿宋"/>
                      <w:b w:val="0"/>
                      <w:bCs w:val="0"/>
                      <w:snapToGrid w:val="0"/>
                      <w:color w:val="000000"/>
                      <w:vertAlign w:val="baseline"/>
                      <w:lang w:val="en-US" w:eastAsia="zh-CN" w:bidi="ar"/>
                    </w:rPr>
                    <w:t>酵</w:t>
                  </w:r>
                </w:p>
              </w:tc>
              <w:tc>
                <w:tcPr>
                  <w:tcW w:w="886" w:type="pct"/>
                  <w:tcBorders>
                    <w:tl2br w:val="nil"/>
                    <w:tr2bl w:val="nil"/>
                  </w:tcBorders>
                  <w:shd w:val="clear" w:color="auto" w:fill="auto"/>
                  <w:vAlign w:val="center"/>
                </w:tcPr>
                <w:p w14:paraId="3C99920D">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发酵废</w:t>
                  </w:r>
                  <w:r>
                    <w:rPr>
                      <w:rStyle w:val="128"/>
                      <w:rFonts w:hint="eastAsia" w:ascii="仿宋" w:hAnsi="仿宋" w:eastAsia="仿宋" w:cs="仿宋"/>
                      <w:b w:val="0"/>
                      <w:bCs w:val="0"/>
                      <w:snapToGrid w:val="0"/>
                      <w:color w:val="000000"/>
                      <w:vertAlign w:val="baseline"/>
                      <w:lang w:val="en-US" w:eastAsia="zh-CN" w:bidi="ar"/>
                    </w:rPr>
                    <w:t>气</w:t>
                  </w:r>
                </w:p>
              </w:tc>
              <w:tc>
                <w:tcPr>
                  <w:tcW w:w="737" w:type="pct"/>
                  <w:tcBorders>
                    <w:tl2br w:val="nil"/>
                    <w:tr2bl w:val="nil"/>
                  </w:tcBorders>
                  <w:shd w:val="clear" w:color="auto" w:fill="auto"/>
                  <w:vAlign w:val="center"/>
                </w:tcPr>
                <w:p w14:paraId="66D682A5">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氨、硫化氢</w:t>
                  </w:r>
                </w:p>
              </w:tc>
              <w:tc>
                <w:tcPr>
                  <w:tcW w:w="886" w:type="pct"/>
                  <w:tcBorders>
                    <w:tl2br w:val="nil"/>
                    <w:tr2bl w:val="nil"/>
                  </w:tcBorders>
                  <w:shd w:val="clear" w:color="auto" w:fill="auto"/>
                  <w:vAlign w:val="center"/>
                </w:tcPr>
                <w:p w14:paraId="6CCBC53C">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生物除</w:t>
                  </w:r>
                  <w:r>
                    <w:rPr>
                      <w:rStyle w:val="128"/>
                      <w:rFonts w:hint="eastAsia" w:ascii="仿宋" w:hAnsi="仿宋" w:eastAsia="仿宋" w:cs="仿宋"/>
                      <w:b w:val="0"/>
                      <w:bCs w:val="0"/>
                      <w:snapToGrid w:val="0"/>
                      <w:color w:val="000000"/>
                      <w:vertAlign w:val="baseline"/>
                      <w:lang w:val="en-US" w:eastAsia="zh-CN" w:bidi="ar"/>
                    </w:rPr>
                    <w:t>臭法</w:t>
                  </w:r>
                </w:p>
              </w:tc>
              <w:tc>
                <w:tcPr>
                  <w:tcW w:w="886" w:type="pct"/>
                  <w:tcBorders>
                    <w:tl2br w:val="nil"/>
                    <w:tr2bl w:val="nil"/>
                  </w:tcBorders>
                  <w:shd w:val="clear" w:color="auto" w:fill="auto"/>
                  <w:vAlign w:val="center"/>
                </w:tcPr>
                <w:p w14:paraId="2EE65EDB">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生物除</w:t>
                  </w:r>
                  <w:r>
                    <w:rPr>
                      <w:rStyle w:val="128"/>
                      <w:rFonts w:hint="eastAsia" w:ascii="仿宋" w:hAnsi="仿宋" w:eastAsia="仿宋" w:cs="仿宋"/>
                      <w:b w:val="0"/>
                      <w:bCs w:val="0"/>
                      <w:snapToGrid w:val="0"/>
                      <w:color w:val="000000"/>
                      <w:vertAlign w:val="baseline"/>
                      <w:lang w:val="en-US" w:eastAsia="zh-CN" w:bidi="ar"/>
                    </w:rPr>
                    <w:t>臭法</w:t>
                  </w:r>
                </w:p>
              </w:tc>
              <w:tc>
                <w:tcPr>
                  <w:tcW w:w="717" w:type="pct"/>
                  <w:tcBorders>
                    <w:tl2br w:val="nil"/>
                    <w:tr2bl w:val="nil"/>
                  </w:tcBorders>
                  <w:shd w:val="clear" w:color="auto" w:fill="auto"/>
                  <w:vAlign w:val="center"/>
                </w:tcPr>
                <w:p w14:paraId="5BB184CE">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是</w:t>
                  </w:r>
                </w:p>
              </w:tc>
            </w:tr>
            <w:tr w14:paraId="4B9EEA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trPr>
              <w:tc>
                <w:tcPr>
                  <w:tcW w:w="886" w:type="pct"/>
                  <w:tcBorders>
                    <w:tl2br w:val="nil"/>
                    <w:tr2bl w:val="nil"/>
                  </w:tcBorders>
                  <w:shd w:val="clear" w:color="auto" w:fill="auto"/>
                  <w:vAlign w:val="center"/>
                </w:tcPr>
                <w:p w14:paraId="133F537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破</w:t>
                  </w:r>
                  <w:r>
                    <w:rPr>
                      <w:rStyle w:val="128"/>
                      <w:rFonts w:hint="eastAsia" w:ascii="仿宋" w:hAnsi="仿宋" w:eastAsia="仿宋" w:cs="仿宋"/>
                      <w:b w:val="0"/>
                      <w:bCs w:val="0"/>
                      <w:snapToGrid w:val="0"/>
                      <w:color w:val="000000"/>
                      <w:vertAlign w:val="baseline"/>
                      <w:lang w:val="en-US" w:eastAsia="zh-CN" w:bidi="ar"/>
                    </w:rPr>
                    <w:t>碎</w:t>
                  </w:r>
                </w:p>
              </w:tc>
              <w:tc>
                <w:tcPr>
                  <w:tcW w:w="886" w:type="pct"/>
                  <w:tcBorders>
                    <w:tl2br w:val="nil"/>
                    <w:tr2bl w:val="nil"/>
                  </w:tcBorders>
                  <w:shd w:val="clear" w:color="auto" w:fill="auto"/>
                  <w:vAlign w:val="center"/>
                </w:tcPr>
                <w:p w14:paraId="0746822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破碎废</w:t>
                  </w:r>
                  <w:r>
                    <w:rPr>
                      <w:rStyle w:val="128"/>
                      <w:rFonts w:hint="eastAsia" w:ascii="仿宋" w:hAnsi="仿宋" w:eastAsia="仿宋" w:cs="仿宋"/>
                      <w:b w:val="0"/>
                      <w:bCs w:val="0"/>
                      <w:snapToGrid w:val="0"/>
                      <w:color w:val="000000"/>
                      <w:vertAlign w:val="baseline"/>
                      <w:lang w:val="en-US" w:eastAsia="zh-CN" w:bidi="ar"/>
                    </w:rPr>
                    <w:t>气</w:t>
                  </w:r>
                </w:p>
              </w:tc>
              <w:tc>
                <w:tcPr>
                  <w:tcW w:w="737" w:type="pct"/>
                  <w:tcBorders>
                    <w:tl2br w:val="nil"/>
                    <w:tr2bl w:val="nil"/>
                  </w:tcBorders>
                  <w:shd w:val="clear" w:color="auto" w:fill="auto"/>
                  <w:vAlign w:val="center"/>
                </w:tcPr>
                <w:p w14:paraId="1C897AF4">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颗粒物</w:t>
                  </w:r>
                </w:p>
              </w:tc>
              <w:tc>
                <w:tcPr>
                  <w:tcW w:w="886" w:type="pct"/>
                  <w:tcBorders>
                    <w:tl2br w:val="nil"/>
                    <w:tr2bl w:val="nil"/>
                  </w:tcBorders>
                  <w:shd w:val="clear" w:color="auto" w:fill="auto"/>
                  <w:vAlign w:val="center"/>
                </w:tcPr>
                <w:p w14:paraId="5CD991B2">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袋式除</w:t>
                  </w:r>
                  <w:r>
                    <w:rPr>
                      <w:rStyle w:val="128"/>
                      <w:rFonts w:hint="eastAsia" w:ascii="仿宋" w:hAnsi="仿宋" w:eastAsia="仿宋" w:cs="仿宋"/>
                      <w:b w:val="0"/>
                      <w:bCs w:val="0"/>
                      <w:snapToGrid w:val="0"/>
                      <w:color w:val="000000"/>
                      <w:vertAlign w:val="baseline"/>
                      <w:lang w:val="en-US" w:eastAsia="zh-CN" w:bidi="ar"/>
                    </w:rPr>
                    <w:t>尘</w:t>
                  </w:r>
                </w:p>
              </w:tc>
              <w:tc>
                <w:tcPr>
                  <w:tcW w:w="886" w:type="pct"/>
                  <w:tcBorders>
                    <w:tl2br w:val="nil"/>
                    <w:tr2bl w:val="nil"/>
                  </w:tcBorders>
                  <w:shd w:val="clear" w:color="auto" w:fill="auto"/>
                  <w:vAlign w:val="center"/>
                </w:tcPr>
                <w:p w14:paraId="0F2E32F1">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袋式除</w:t>
                  </w:r>
                  <w:r>
                    <w:rPr>
                      <w:rStyle w:val="128"/>
                      <w:rFonts w:hint="eastAsia" w:ascii="仿宋" w:hAnsi="仿宋" w:eastAsia="仿宋" w:cs="仿宋"/>
                      <w:b w:val="0"/>
                      <w:bCs w:val="0"/>
                      <w:snapToGrid w:val="0"/>
                      <w:color w:val="000000"/>
                      <w:vertAlign w:val="baseline"/>
                      <w:lang w:val="en-US" w:eastAsia="zh-CN" w:bidi="ar"/>
                    </w:rPr>
                    <w:t>尘</w:t>
                  </w:r>
                </w:p>
              </w:tc>
              <w:tc>
                <w:tcPr>
                  <w:tcW w:w="717" w:type="pct"/>
                  <w:tcBorders>
                    <w:tl2br w:val="nil"/>
                    <w:tr2bl w:val="nil"/>
                  </w:tcBorders>
                  <w:shd w:val="clear" w:color="auto" w:fill="auto"/>
                  <w:vAlign w:val="center"/>
                </w:tcPr>
                <w:p w14:paraId="67BC84AE">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vertAlign w:val="baseline"/>
                    </w:rPr>
                  </w:pPr>
                  <w:r>
                    <w:rPr>
                      <w:rFonts w:hint="eastAsia" w:ascii="仿宋" w:hAnsi="仿宋" w:eastAsia="仿宋" w:cs="仿宋"/>
                      <w:b w:val="0"/>
                      <w:bCs w:val="0"/>
                      <w:i w:val="0"/>
                      <w:iCs w:val="0"/>
                      <w:snapToGrid w:val="0"/>
                      <w:color w:val="000000"/>
                      <w:kern w:val="0"/>
                      <w:sz w:val="21"/>
                      <w:szCs w:val="21"/>
                      <w:u w:val="none"/>
                      <w:vertAlign w:val="baseline"/>
                      <w:lang w:val="en-US" w:eastAsia="zh-CN" w:bidi="ar"/>
                    </w:rPr>
                    <w:t>是</w:t>
                  </w:r>
                </w:p>
              </w:tc>
            </w:tr>
          </w:tbl>
          <w:p w14:paraId="6F2BC0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结合上表分析可知，本项目生产线采取的废气治理设施为污染防治可行技术，采取的措施可行。</w:t>
            </w:r>
          </w:p>
          <w:p w14:paraId="091CFCB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（4）废气监测计划</w:t>
            </w:r>
          </w:p>
          <w:p w14:paraId="6EA06AB4">
            <w:pPr>
              <w:pStyle w:val="40"/>
              <w:numPr>
                <w:ilvl w:val="0"/>
                <w:numId w:val="0"/>
              </w:numPr>
              <w:spacing w:line="360" w:lineRule="auto"/>
              <w:jc w:val="both"/>
              <w:rPr>
                <w:rFonts w:hint="eastAsia" w:ascii="仿宋" w:hAnsi="仿宋" w:eastAsia="仿宋" w:cs="仿宋"/>
                <w:b/>
                <w:bCs w:val="0"/>
                <w:color w:val="000000"/>
                <w:kern w:val="2"/>
                <w:sz w:val="21"/>
                <w:szCs w:val="24"/>
                <w:highlight w:val="none"/>
                <w:lang w:val="en-US" w:eastAsia="zh-CN" w:bidi="ar-SA"/>
              </w:rPr>
            </w:pPr>
            <w:r>
              <w:rPr>
                <w:rFonts w:hint="eastAsia" w:ascii="仿宋" w:hAnsi="仿宋" w:eastAsia="仿宋" w:cs="仿宋"/>
                <w:b/>
                <w:bCs w:val="0"/>
                <w:color w:val="000000"/>
                <w:kern w:val="2"/>
                <w:sz w:val="21"/>
                <w:szCs w:val="24"/>
                <w:highlight w:val="none"/>
                <w:lang w:val="en-US" w:eastAsia="zh-CN" w:bidi="ar-SA"/>
              </w:rPr>
              <w:t xml:space="preserve">   </w:t>
            </w:r>
            <w:r>
              <w:rPr>
                <w:rFonts w:hint="eastAsia" w:ascii="仿宋" w:hAnsi="仿宋" w:eastAsia="仿宋" w:cs="仿宋"/>
                <w:b w:val="0"/>
                <w:bCs/>
                <w:color w:val="000000"/>
                <w:kern w:val="2"/>
                <w:sz w:val="21"/>
                <w:szCs w:val="24"/>
                <w:highlight w:val="none"/>
                <w:lang w:val="en-US" w:eastAsia="zh-CN" w:bidi="ar-SA"/>
              </w:rPr>
              <w:t xml:space="preserve">  </w:t>
            </w:r>
            <w:r>
              <w:rPr>
                <w:rFonts w:hint="eastAsia" w:ascii="仿宋" w:hAnsi="仿宋" w:eastAsia="仿宋" w:cs="仿宋"/>
                <w:b w:val="0"/>
                <w:bCs/>
                <w:color w:val="000000"/>
                <w:kern w:val="0"/>
                <w:sz w:val="24"/>
                <w:szCs w:val="24"/>
                <w:lang w:val="en-US" w:eastAsia="zh-CN" w:bidi="ar"/>
              </w:rPr>
              <w:t>参考《排污单位自行监测技术指南 总则》（HJ819-2017）以及</w:t>
            </w:r>
            <w:r>
              <w:rPr>
                <w:rFonts w:hint="eastAsia" w:ascii="仿宋" w:hAnsi="仿宋" w:eastAsia="仿宋" w:cs="仿宋"/>
                <w:color w:val="000000"/>
                <w:kern w:val="0"/>
                <w:sz w:val="24"/>
                <w:szCs w:val="24"/>
                <w:lang w:val="en-US" w:eastAsia="zh-CN" w:bidi="ar"/>
              </w:rPr>
              <w:t>《排污许可证申请与核发技术规范 磷肥、钾肥、复混肥料、有机肥料及微生物肥料工业》（HJ864.2-2018）表20</w:t>
            </w:r>
            <w:r>
              <w:rPr>
                <w:rFonts w:hint="eastAsia" w:ascii="仿宋" w:hAnsi="仿宋" w:eastAsia="仿宋" w:cs="仿宋"/>
                <w:b w:val="0"/>
                <w:bCs/>
                <w:color w:val="000000"/>
                <w:kern w:val="0"/>
                <w:sz w:val="24"/>
                <w:szCs w:val="24"/>
                <w:lang w:val="en-US" w:eastAsia="zh-CN" w:bidi="ar"/>
              </w:rPr>
              <w:t>，厂区废气监测计划如下。</w:t>
            </w:r>
          </w:p>
          <w:p w14:paraId="0F2B9BC3">
            <w:pPr>
              <w:pStyle w:val="40"/>
              <w:numPr>
                <w:ilvl w:val="0"/>
                <w:numId w:val="0"/>
              </w:numPr>
              <w:spacing w:line="240" w:lineRule="auto"/>
              <w:jc w:val="center"/>
              <w:rPr>
                <w:rFonts w:hint="eastAsia" w:ascii="仿宋" w:hAnsi="仿宋" w:eastAsia="仿宋" w:cs="仿宋"/>
                <w:b/>
                <w:bCs w:val="0"/>
                <w:color w:val="000000"/>
                <w:kern w:val="2"/>
                <w:sz w:val="21"/>
                <w:szCs w:val="21"/>
                <w:highlight w:val="none"/>
                <w:lang w:val="en-US" w:eastAsia="zh-CN" w:bidi="ar-SA"/>
              </w:rPr>
            </w:pPr>
            <w:r>
              <w:rPr>
                <w:rFonts w:hint="eastAsia" w:ascii="仿宋" w:hAnsi="仿宋" w:eastAsia="仿宋" w:cs="仿宋"/>
                <w:b/>
                <w:bCs w:val="0"/>
                <w:color w:val="000000"/>
                <w:kern w:val="2"/>
                <w:sz w:val="21"/>
                <w:szCs w:val="21"/>
                <w:highlight w:val="none"/>
                <w:lang w:val="en-US" w:eastAsia="zh-CN" w:bidi="ar-SA"/>
              </w:rPr>
              <w:t>表4-10  废气监测要求一览表</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009"/>
              <w:gridCol w:w="1605"/>
              <w:gridCol w:w="4337"/>
              <w:gridCol w:w="1469"/>
            </w:tblGrid>
            <w:tr w14:paraId="4C3190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tblHeader/>
                <w:jc w:val="center"/>
              </w:trPr>
              <w:tc>
                <w:tcPr>
                  <w:tcW w:w="599" w:type="pct"/>
                  <w:tcBorders>
                    <w:tl2br w:val="nil"/>
                    <w:tr2bl w:val="nil"/>
                  </w:tcBorders>
                  <w:noWrap w:val="0"/>
                  <w:vAlign w:val="center"/>
                </w:tcPr>
                <w:p w14:paraId="2729869D">
                  <w:pPr>
                    <w:pStyle w:val="126"/>
                    <w:adjustRightInd w:val="0"/>
                    <w:snapToGrid w:val="0"/>
                    <w:spacing w:line="240" w:lineRule="auto"/>
                    <w:jc w:val="center"/>
                    <w:rPr>
                      <w:rStyle w:val="34"/>
                      <w:rFonts w:hint="eastAsia" w:ascii="仿宋" w:hAnsi="仿宋" w:eastAsia="仿宋" w:cs="仿宋"/>
                      <w:color w:val="000000"/>
                      <w:sz w:val="21"/>
                      <w:szCs w:val="21"/>
                      <w:highlight w:val="none"/>
                      <w:lang w:val="en-US" w:eastAsia="zh-CN"/>
                    </w:rPr>
                  </w:pPr>
                  <w:r>
                    <w:rPr>
                      <w:rStyle w:val="34"/>
                      <w:rFonts w:hint="eastAsia" w:ascii="仿宋" w:hAnsi="仿宋" w:eastAsia="仿宋" w:cs="仿宋"/>
                      <w:color w:val="000000"/>
                      <w:sz w:val="21"/>
                      <w:szCs w:val="21"/>
                      <w:highlight w:val="none"/>
                      <w:lang w:val="en-US" w:eastAsia="zh-CN"/>
                    </w:rPr>
                    <w:t>序号</w:t>
                  </w:r>
                </w:p>
              </w:tc>
              <w:tc>
                <w:tcPr>
                  <w:tcW w:w="953" w:type="pct"/>
                  <w:tcBorders>
                    <w:tl2br w:val="nil"/>
                    <w:tr2bl w:val="nil"/>
                  </w:tcBorders>
                  <w:noWrap w:val="0"/>
                  <w:vAlign w:val="center"/>
                </w:tcPr>
                <w:p w14:paraId="3E2281D4">
                  <w:pPr>
                    <w:pStyle w:val="126"/>
                    <w:adjustRightInd w:val="0"/>
                    <w:snapToGrid w:val="0"/>
                    <w:spacing w:line="240" w:lineRule="auto"/>
                    <w:jc w:val="center"/>
                    <w:rPr>
                      <w:rStyle w:val="34"/>
                      <w:rFonts w:hint="eastAsia" w:ascii="仿宋" w:hAnsi="仿宋" w:eastAsia="仿宋" w:cs="仿宋"/>
                      <w:color w:val="000000"/>
                      <w:sz w:val="21"/>
                      <w:szCs w:val="21"/>
                      <w:highlight w:val="none"/>
                    </w:rPr>
                  </w:pPr>
                  <w:r>
                    <w:rPr>
                      <w:rStyle w:val="34"/>
                      <w:rFonts w:hint="eastAsia" w:ascii="仿宋" w:hAnsi="仿宋" w:eastAsia="仿宋" w:cs="仿宋"/>
                      <w:b/>
                      <w:bCs/>
                      <w:color w:val="000000"/>
                      <w:sz w:val="21"/>
                      <w:szCs w:val="21"/>
                      <w:highlight w:val="none"/>
                      <w:lang w:eastAsia="zh-CN"/>
                    </w:rPr>
                    <w:t>监测点位</w:t>
                  </w:r>
                </w:p>
              </w:tc>
              <w:tc>
                <w:tcPr>
                  <w:tcW w:w="2575" w:type="pct"/>
                  <w:tcBorders>
                    <w:tl2br w:val="nil"/>
                    <w:tr2bl w:val="nil"/>
                  </w:tcBorders>
                  <w:noWrap w:val="0"/>
                  <w:vAlign w:val="center"/>
                </w:tcPr>
                <w:p w14:paraId="670A63EB">
                  <w:pPr>
                    <w:pStyle w:val="126"/>
                    <w:adjustRightInd w:val="0"/>
                    <w:snapToGrid w:val="0"/>
                    <w:spacing w:line="240" w:lineRule="auto"/>
                    <w:jc w:val="center"/>
                    <w:rPr>
                      <w:rStyle w:val="34"/>
                      <w:rFonts w:hint="eastAsia" w:ascii="仿宋" w:hAnsi="仿宋" w:eastAsia="仿宋" w:cs="仿宋"/>
                      <w:color w:val="000000"/>
                      <w:sz w:val="21"/>
                      <w:szCs w:val="21"/>
                      <w:highlight w:val="none"/>
                    </w:rPr>
                  </w:pPr>
                  <w:r>
                    <w:rPr>
                      <w:rStyle w:val="34"/>
                      <w:rFonts w:hint="eastAsia" w:ascii="仿宋" w:hAnsi="仿宋" w:eastAsia="仿宋" w:cs="仿宋"/>
                      <w:b/>
                      <w:bCs/>
                      <w:color w:val="000000"/>
                      <w:sz w:val="21"/>
                      <w:szCs w:val="21"/>
                      <w:highlight w:val="none"/>
                      <w:lang w:eastAsia="zh-CN"/>
                    </w:rPr>
                    <w:t>监测因子</w:t>
                  </w:r>
                </w:p>
              </w:tc>
              <w:tc>
                <w:tcPr>
                  <w:tcW w:w="872" w:type="pct"/>
                  <w:tcBorders>
                    <w:tl2br w:val="nil"/>
                    <w:tr2bl w:val="nil"/>
                  </w:tcBorders>
                  <w:noWrap w:val="0"/>
                  <w:vAlign w:val="center"/>
                </w:tcPr>
                <w:p w14:paraId="231BF640">
                  <w:pPr>
                    <w:pStyle w:val="126"/>
                    <w:adjustRightInd w:val="0"/>
                    <w:snapToGrid w:val="0"/>
                    <w:spacing w:line="240" w:lineRule="auto"/>
                    <w:jc w:val="center"/>
                    <w:rPr>
                      <w:rStyle w:val="34"/>
                      <w:rFonts w:hint="eastAsia" w:ascii="仿宋" w:hAnsi="仿宋" w:eastAsia="仿宋" w:cs="仿宋"/>
                      <w:color w:val="000000"/>
                      <w:sz w:val="21"/>
                      <w:szCs w:val="21"/>
                      <w:highlight w:val="none"/>
                    </w:rPr>
                  </w:pPr>
                  <w:r>
                    <w:rPr>
                      <w:rStyle w:val="34"/>
                      <w:rFonts w:hint="eastAsia" w:ascii="仿宋" w:hAnsi="仿宋" w:eastAsia="仿宋" w:cs="仿宋"/>
                      <w:b/>
                      <w:bCs/>
                      <w:color w:val="000000"/>
                      <w:sz w:val="21"/>
                      <w:szCs w:val="21"/>
                      <w:highlight w:val="none"/>
                      <w:lang w:eastAsia="zh-CN"/>
                    </w:rPr>
                    <w:t>监测频次</w:t>
                  </w:r>
                </w:p>
              </w:tc>
            </w:tr>
            <w:tr w14:paraId="3FAB4C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tblHeader/>
                <w:jc w:val="center"/>
              </w:trPr>
              <w:tc>
                <w:tcPr>
                  <w:tcW w:w="599" w:type="pct"/>
                  <w:tcBorders>
                    <w:tl2br w:val="nil"/>
                    <w:tr2bl w:val="nil"/>
                  </w:tcBorders>
                  <w:noWrap w:val="0"/>
                  <w:vAlign w:val="center"/>
                </w:tcPr>
                <w:p w14:paraId="4233F795">
                  <w:pPr>
                    <w:pStyle w:val="126"/>
                    <w:adjustRightInd w:val="0"/>
                    <w:snapToGrid w:val="0"/>
                    <w:spacing w:line="240" w:lineRule="auto"/>
                    <w:jc w:val="center"/>
                    <w:rPr>
                      <w:rStyle w:val="34"/>
                      <w:rFonts w:hint="eastAsia" w:ascii="仿宋" w:hAnsi="仿宋" w:eastAsia="仿宋" w:cs="仿宋"/>
                      <w:color w:val="000000"/>
                      <w:sz w:val="21"/>
                      <w:szCs w:val="21"/>
                      <w:highlight w:val="none"/>
                      <w:lang w:val="en-US" w:eastAsia="zh-CN"/>
                    </w:rPr>
                  </w:pPr>
                  <w:r>
                    <w:rPr>
                      <w:rStyle w:val="34"/>
                      <w:rFonts w:hint="eastAsia" w:ascii="仿宋" w:hAnsi="仿宋" w:eastAsia="仿宋" w:cs="仿宋"/>
                      <w:color w:val="000000"/>
                      <w:sz w:val="21"/>
                      <w:szCs w:val="21"/>
                      <w:highlight w:val="none"/>
                      <w:lang w:val="en-US" w:eastAsia="zh-CN"/>
                    </w:rPr>
                    <w:t>1</w:t>
                  </w:r>
                </w:p>
              </w:tc>
              <w:tc>
                <w:tcPr>
                  <w:tcW w:w="953" w:type="pct"/>
                  <w:tcBorders>
                    <w:tl2br w:val="nil"/>
                    <w:tr2bl w:val="nil"/>
                  </w:tcBorders>
                  <w:noWrap w:val="0"/>
                  <w:vAlign w:val="center"/>
                </w:tcPr>
                <w:p w14:paraId="4626E3BA">
                  <w:pPr>
                    <w:spacing w:line="240" w:lineRule="auto"/>
                    <w:jc w:val="center"/>
                    <w:rPr>
                      <w:rFonts w:hint="eastAsia" w:ascii="仿宋" w:hAnsi="仿宋" w:eastAsia="仿宋" w:cs="仿宋"/>
                      <w:b/>
                      <w:bCs/>
                      <w:color w:val="000000"/>
                      <w:kern w:val="2"/>
                      <w:sz w:val="21"/>
                      <w:szCs w:val="21"/>
                      <w:highlight w:val="none"/>
                      <w:lang w:val="en-US" w:eastAsia="zh-CN" w:bidi="ar-SA"/>
                    </w:rPr>
                  </w:pPr>
                  <w:r>
                    <w:rPr>
                      <w:rFonts w:hint="eastAsia" w:ascii="仿宋" w:hAnsi="仿宋" w:eastAsia="仿宋" w:cs="仿宋"/>
                      <w:b w:val="0"/>
                      <w:bCs w:val="0"/>
                      <w:color w:val="000000"/>
                      <w:sz w:val="21"/>
                      <w:szCs w:val="21"/>
                      <w:highlight w:val="none"/>
                      <w:lang w:val="en-US" w:eastAsia="zh-CN"/>
                    </w:rPr>
                    <w:t>DA001</w:t>
                  </w:r>
                </w:p>
              </w:tc>
              <w:tc>
                <w:tcPr>
                  <w:tcW w:w="2575" w:type="pct"/>
                  <w:tcBorders>
                    <w:tl2br w:val="nil"/>
                    <w:tr2bl w:val="nil"/>
                  </w:tcBorders>
                  <w:noWrap w:val="0"/>
                  <w:vAlign w:val="center"/>
                </w:tcPr>
                <w:p w14:paraId="18F2398B">
                  <w:pPr>
                    <w:pStyle w:val="126"/>
                    <w:adjustRightInd w:val="0"/>
                    <w:snapToGrid w:val="0"/>
                    <w:spacing w:line="240" w:lineRule="auto"/>
                    <w:jc w:val="center"/>
                    <w:rPr>
                      <w:rStyle w:val="34"/>
                      <w:rFonts w:hint="default" w:ascii="仿宋" w:hAnsi="仿宋" w:eastAsia="仿宋" w:cs="仿宋"/>
                      <w:color w:val="000000"/>
                      <w:sz w:val="21"/>
                      <w:szCs w:val="21"/>
                      <w:highlight w:val="none"/>
                      <w:lang w:val="en-US"/>
                    </w:rPr>
                  </w:pPr>
                  <w:r>
                    <w:rPr>
                      <w:rFonts w:hint="eastAsia" w:ascii="仿宋" w:hAnsi="仿宋" w:eastAsia="仿宋" w:cs="仿宋"/>
                      <w:b w:val="0"/>
                      <w:bCs w:val="0"/>
                      <w:color w:val="000000"/>
                      <w:sz w:val="21"/>
                      <w:szCs w:val="21"/>
                      <w:highlight w:val="none"/>
                      <w:vertAlign w:val="baseline"/>
                      <w:lang w:val="en-US" w:eastAsia="zh-CN"/>
                    </w:rPr>
                    <w:t>颗粒物</w:t>
                  </w:r>
                </w:p>
              </w:tc>
              <w:tc>
                <w:tcPr>
                  <w:tcW w:w="872" w:type="pct"/>
                  <w:tcBorders>
                    <w:tl2br w:val="nil"/>
                    <w:tr2bl w:val="nil"/>
                  </w:tcBorders>
                  <w:noWrap w:val="0"/>
                  <w:vAlign w:val="center"/>
                </w:tcPr>
                <w:p w14:paraId="1DF116B6">
                  <w:pPr>
                    <w:pStyle w:val="126"/>
                    <w:adjustRightInd w:val="0"/>
                    <w:snapToGrid w:val="0"/>
                    <w:spacing w:line="240" w:lineRule="auto"/>
                    <w:jc w:val="center"/>
                    <w:rPr>
                      <w:rStyle w:val="34"/>
                      <w:rFonts w:hint="eastAsia" w:ascii="仿宋" w:hAnsi="仿宋" w:eastAsia="仿宋" w:cs="仿宋"/>
                      <w:color w:val="000000"/>
                      <w:sz w:val="21"/>
                      <w:szCs w:val="21"/>
                      <w:highlight w:val="none"/>
                      <w:lang w:val="en-US" w:eastAsia="zh-CN"/>
                    </w:rPr>
                  </w:pPr>
                  <w:r>
                    <w:rPr>
                      <w:rStyle w:val="34"/>
                      <w:rFonts w:hint="eastAsia" w:ascii="仿宋" w:hAnsi="仿宋" w:eastAsia="仿宋" w:cs="仿宋"/>
                      <w:color w:val="000000"/>
                      <w:sz w:val="21"/>
                      <w:szCs w:val="21"/>
                      <w:highlight w:val="none"/>
                      <w:lang w:val="en-US" w:eastAsia="zh-CN"/>
                    </w:rPr>
                    <w:t>1次/半年</w:t>
                  </w:r>
                </w:p>
              </w:tc>
            </w:tr>
            <w:tr w14:paraId="4A498AB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tblHeader/>
                <w:jc w:val="center"/>
              </w:trPr>
              <w:tc>
                <w:tcPr>
                  <w:tcW w:w="599" w:type="pct"/>
                  <w:tcBorders>
                    <w:tl2br w:val="nil"/>
                    <w:tr2bl w:val="nil"/>
                  </w:tcBorders>
                  <w:noWrap w:val="0"/>
                  <w:vAlign w:val="center"/>
                </w:tcPr>
                <w:p w14:paraId="2B37A11E">
                  <w:pPr>
                    <w:pStyle w:val="126"/>
                    <w:adjustRightInd w:val="0"/>
                    <w:snapToGrid w:val="0"/>
                    <w:spacing w:line="240" w:lineRule="auto"/>
                    <w:jc w:val="center"/>
                    <w:rPr>
                      <w:rFonts w:hint="eastAsia" w:ascii="仿宋" w:hAnsi="仿宋" w:eastAsia="仿宋" w:cs="仿宋"/>
                      <w:color w:val="000000"/>
                      <w:kern w:val="2"/>
                      <w:sz w:val="21"/>
                      <w:szCs w:val="21"/>
                      <w:highlight w:val="none"/>
                      <w:lang w:val="en-US" w:eastAsia="zh-CN" w:bidi="ar-SA"/>
                    </w:rPr>
                  </w:pPr>
                  <w:r>
                    <w:rPr>
                      <w:rStyle w:val="34"/>
                      <w:rFonts w:hint="eastAsia" w:ascii="仿宋" w:hAnsi="仿宋" w:eastAsia="仿宋" w:cs="仿宋"/>
                      <w:color w:val="000000"/>
                      <w:sz w:val="21"/>
                      <w:szCs w:val="21"/>
                      <w:highlight w:val="none"/>
                      <w:lang w:val="en-US" w:eastAsia="zh-CN"/>
                    </w:rPr>
                    <w:t>2</w:t>
                  </w:r>
                </w:p>
              </w:tc>
              <w:tc>
                <w:tcPr>
                  <w:tcW w:w="953" w:type="pct"/>
                  <w:tcBorders>
                    <w:tl2br w:val="nil"/>
                    <w:tr2bl w:val="nil"/>
                  </w:tcBorders>
                  <w:noWrap w:val="0"/>
                  <w:vAlign w:val="center"/>
                </w:tcPr>
                <w:p w14:paraId="063C9CDF">
                  <w:pPr>
                    <w:spacing w:line="240" w:lineRule="auto"/>
                    <w:jc w:val="center"/>
                    <w:rPr>
                      <w:rFonts w:hint="eastAsia" w:ascii="仿宋" w:hAnsi="仿宋" w:eastAsia="仿宋" w:cs="仿宋"/>
                      <w:b w:val="0"/>
                      <w:bCs w:val="0"/>
                      <w:color w:val="000000"/>
                      <w:kern w:val="2"/>
                      <w:sz w:val="21"/>
                      <w:szCs w:val="21"/>
                      <w:highlight w:val="none"/>
                      <w:lang w:val="en-US" w:eastAsia="zh-CN" w:bidi="ar-SA"/>
                    </w:rPr>
                  </w:pPr>
                  <w:r>
                    <w:rPr>
                      <w:rFonts w:hint="eastAsia" w:ascii="仿宋" w:hAnsi="仿宋" w:eastAsia="仿宋" w:cs="仿宋"/>
                      <w:b w:val="0"/>
                      <w:bCs w:val="0"/>
                      <w:color w:val="000000"/>
                      <w:sz w:val="21"/>
                      <w:szCs w:val="21"/>
                      <w:highlight w:val="none"/>
                      <w:lang w:val="en-US" w:eastAsia="zh-CN"/>
                    </w:rPr>
                    <w:t>DA002</w:t>
                  </w:r>
                </w:p>
              </w:tc>
              <w:tc>
                <w:tcPr>
                  <w:tcW w:w="2575" w:type="pct"/>
                  <w:tcBorders>
                    <w:tl2br w:val="nil"/>
                    <w:tr2bl w:val="nil"/>
                  </w:tcBorders>
                  <w:noWrap w:val="0"/>
                  <w:vAlign w:val="center"/>
                </w:tcPr>
                <w:p w14:paraId="099C204A">
                  <w:pPr>
                    <w:pStyle w:val="126"/>
                    <w:adjustRightInd w:val="0"/>
                    <w:snapToGrid w:val="0"/>
                    <w:spacing w:line="240" w:lineRule="auto"/>
                    <w:jc w:val="center"/>
                    <w:rPr>
                      <w:rStyle w:val="34"/>
                      <w:rFonts w:hint="default" w:ascii="仿宋" w:hAnsi="仿宋" w:eastAsia="仿宋" w:cs="仿宋"/>
                      <w:color w:val="000000"/>
                      <w:sz w:val="21"/>
                      <w:szCs w:val="21"/>
                      <w:highlight w:val="none"/>
                      <w:lang w:val="en-US" w:eastAsia="zh-CN"/>
                    </w:rPr>
                  </w:pPr>
                  <w:r>
                    <w:rPr>
                      <w:rStyle w:val="34"/>
                      <w:rFonts w:hint="eastAsia" w:ascii="仿宋" w:hAnsi="仿宋" w:eastAsia="仿宋" w:cs="仿宋"/>
                      <w:color w:val="000000"/>
                      <w:sz w:val="21"/>
                      <w:szCs w:val="21"/>
                      <w:highlight w:val="none"/>
                      <w:lang w:val="en-US" w:eastAsia="zh-CN"/>
                    </w:rPr>
                    <w:t>硫化氢、氨、臭气浓度</w:t>
                  </w:r>
                </w:p>
              </w:tc>
              <w:tc>
                <w:tcPr>
                  <w:tcW w:w="872" w:type="pct"/>
                  <w:tcBorders>
                    <w:tl2br w:val="nil"/>
                    <w:tr2bl w:val="nil"/>
                  </w:tcBorders>
                  <w:noWrap w:val="0"/>
                  <w:vAlign w:val="center"/>
                </w:tcPr>
                <w:p w14:paraId="3B77EF58">
                  <w:pPr>
                    <w:pStyle w:val="126"/>
                    <w:adjustRightInd w:val="0"/>
                    <w:snapToGrid w:val="0"/>
                    <w:spacing w:line="240" w:lineRule="auto"/>
                    <w:jc w:val="center"/>
                    <w:rPr>
                      <w:rStyle w:val="34"/>
                      <w:rFonts w:hint="eastAsia" w:ascii="仿宋" w:hAnsi="仿宋" w:eastAsia="仿宋" w:cs="仿宋"/>
                      <w:color w:val="000000"/>
                      <w:sz w:val="21"/>
                      <w:szCs w:val="21"/>
                      <w:highlight w:val="none"/>
                    </w:rPr>
                  </w:pPr>
                  <w:r>
                    <w:rPr>
                      <w:rFonts w:hint="eastAsia" w:ascii="仿宋" w:hAnsi="仿宋" w:eastAsia="仿宋" w:cs="仿宋"/>
                      <w:i w:val="0"/>
                      <w:iCs w:val="0"/>
                      <w:color w:val="000000"/>
                      <w:kern w:val="0"/>
                      <w:sz w:val="21"/>
                      <w:szCs w:val="21"/>
                      <w:u w:val="none"/>
                      <w:lang w:val="en-US" w:eastAsia="zh-CN" w:bidi="ar"/>
                    </w:rPr>
                    <w:t>1次</w:t>
                  </w:r>
                  <w:r>
                    <w:rPr>
                      <w:rStyle w:val="127"/>
                      <w:rFonts w:hint="eastAsia" w:ascii="仿宋" w:hAnsi="仿宋" w:eastAsia="仿宋" w:cs="仿宋"/>
                      <w:sz w:val="21"/>
                      <w:szCs w:val="21"/>
                      <w:lang w:val="en-US" w:eastAsia="zh-CN" w:bidi="ar"/>
                    </w:rPr>
                    <w:t>/半</w:t>
                  </w:r>
                  <w:r>
                    <w:rPr>
                      <w:rFonts w:hint="eastAsia" w:ascii="仿宋" w:hAnsi="仿宋" w:eastAsia="仿宋" w:cs="仿宋"/>
                      <w:i w:val="0"/>
                      <w:iCs w:val="0"/>
                      <w:color w:val="000000"/>
                      <w:kern w:val="0"/>
                      <w:sz w:val="21"/>
                      <w:szCs w:val="21"/>
                      <w:u w:val="none"/>
                      <w:lang w:val="en-US" w:eastAsia="zh-CN" w:bidi="ar"/>
                    </w:rPr>
                    <w:t>年</w:t>
                  </w:r>
                </w:p>
              </w:tc>
            </w:tr>
            <w:tr w14:paraId="04E93D9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tblHeader/>
                <w:jc w:val="center"/>
              </w:trPr>
              <w:tc>
                <w:tcPr>
                  <w:tcW w:w="599" w:type="pct"/>
                  <w:tcBorders>
                    <w:tl2br w:val="nil"/>
                    <w:tr2bl w:val="nil"/>
                  </w:tcBorders>
                  <w:noWrap w:val="0"/>
                  <w:vAlign w:val="center"/>
                </w:tcPr>
                <w:p w14:paraId="5758B37D">
                  <w:pPr>
                    <w:pStyle w:val="126"/>
                    <w:adjustRightInd w:val="0"/>
                    <w:snapToGrid w:val="0"/>
                    <w:spacing w:line="240" w:lineRule="auto"/>
                    <w:jc w:val="center"/>
                    <w:rPr>
                      <w:rStyle w:val="34"/>
                      <w:rFonts w:hint="default" w:ascii="仿宋" w:hAnsi="仿宋" w:eastAsia="仿宋" w:cs="仿宋"/>
                      <w:color w:val="000000"/>
                      <w:sz w:val="21"/>
                      <w:szCs w:val="21"/>
                      <w:highlight w:val="none"/>
                      <w:lang w:val="en-US" w:eastAsia="zh-CN"/>
                    </w:rPr>
                  </w:pPr>
                  <w:r>
                    <w:rPr>
                      <w:rStyle w:val="34"/>
                      <w:rFonts w:hint="eastAsia" w:ascii="仿宋" w:hAnsi="仿宋" w:eastAsia="仿宋" w:cs="仿宋"/>
                      <w:color w:val="000000"/>
                      <w:sz w:val="21"/>
                      <w:szCs w:val="21"/>
                      <w:highlight w:val="none"/>
                      <w:lang w:val="en-US" w:eastAsia="zh-CN"/>
                    </w:rPr>
                    <w:t>3</w:t>
                  </w:r>
                </w:p>
              </w:tc>
              <w:tc>
                <w:tcPr>
                  <w:tcW w:w="953" w:type="pct"/>
                  <w:tcBorders>
                    <w:tl2br w:val="nil"/>
                    <w:tr2bl w:val="nil"/>
                  </w:tcBorders>
                  <w:noWrap w:val="0"/>
                  <w:vAlign w:val="center"/>
                </w:tcPr>
                <w:p w14:paraId="4EC1CE23">
                  <w:pPr>
                    <w:spacing w:line="240" w:lineRule="auto"/>
                    <w:jc w:val="center"/>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厂界</w:t>
                  </w:r>
                </w:p>
              </w:tc>
              <w:tc>
                <w:tcPr>
                  <w:tcW w:w="2575" w:type="pct"/>
                  <w:tcBorders>
                    <w:tl2br w:val="nil"/>
                    <w:tr2bl w:val="nil"/>
                  </w:tcBorders>
                  <w:noWrap w:val="0"/>
                  <w:vAlign w:val="center"/>
                </w:tcPr>
                <w:p w14:paraId="336AC471">
                  <w:pPr>
                    <w:pStyle w:val="126"/>
                    <w:adjustRightInd w:val="0"/>
                    <w:snapToGrid w:val="0"/>
                    <w:spacing w:line="240" w:lineRule="auto"/>
                    <w:jc w:val="center"/>
                    <w:rPr>
                      <w:rFonts w:hint="eastAsia" w:ascii="仿宋" w:hAnsi="仿宋" w:eastAsia="仿宋" w:cs="仿宋"/>
                      <w:b w:val="0"/>
                      <w:bCs w:val="0"/>
                      <w:color w:val="000000"/>
                      <w:sz w:val="21"/>
                      <w:szCs w:val="21"/>
                      <w:highlight w:val="none"/>
                      <w:vertAlign w:val="baseline"/>
                      <w:lang w:val="en-US" w:eastAsia="zh-CN"/>
                    </w:rPr>
                  </w:pPr>
                  <w:r>
                    <w:rPr>
                      <w:rStyle w:val="34"/>
                      <w:rFonts w:hint="eastAsia" w:ascii="仿宋" w:hAnsi="仿宋" w:eastAsia="仿宋" w:cs="仿宋"/>
                      <w:color w:val="000000"/>
                      <w:sz w:val="21"/>
                      <w:szCs w:val="21"/>
                      <w:highlight w:val="none"/>
                      <w:lang w:val="en-US" w:eastAsia="zh-CN"/>
                    </w:rPr>
                    <w:t>硫化氢、氨、臭气浓度</w:t>
                  </w:r>
                  <w:r>
                    <w:rPr>
                      <w:rFonts w:hint="eastAsia" w:ascii="仿宋" w:hAnsi="仿宋" w:eastAsia="仿宋" w:cs="仿宋"/>
                      <w:b w:val="0"/>
                      <w:bCs w:val="0"/>
                      <w:color w:val="000000"/>
                      <w:sz w:val="21"/>
                      <w:szCs w:val="21"/>
                      <w:highlight w:val="none"/>
                      <w:vertAlign w:val="baseline"/>
                      <w:lang w:val="en-US" w:eastAsia="zh-CN"/>
                    </w:rPr>
                    <w:t>、颗粒物</w:t>
                  </w:r>
                </w:p>
              </w:tc>
              <w:tc>
                <w:tcPr>
                  <w:tcW w:w="872" w:type="pct"/>
                  <w:tcBorders>
                    <w:tl2br w:val="nil"/>
                    <w:tr2bl w:val="nil"/>
                  </w:tcBorders>
                  <w:noWrap w:val="0"/>
                  <w:vAlign w:val="center"/>
                </w:tcPr>
                <w:p w14:paraId="4FC46737">
                  <w:pPr>
                    <w:pStyle w:val="126"/>
                    <w:adjustRightInd w:val="0"/>
                    <w:snapToGrid w:val="0"/>
                    <w:spacing w:line="240" w:lineRule="auto"/>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1次</w:t>
                  </w:r>
                  <w:r>
                    <w:rPr>
                      <w:rStyle w:val="127"/>
                      <w:rFonts w:hint="eastAsia" w:ascii="仿宋" w:hAnsi="仿宋" w:eastAsia="仿宋" w:cs="仿宋"/>
                      <w:sz w:val="21"/>
                      <w:szCs w:val="21"/>
                      <w:lang w:val="en-US" w:eastAsia="zh-CN" w:bidi="ar"/>
                    </w:rPr>
                    <w:t>/半</w:t>
                  </w:r>
                  <w:r>
                    <w:rPr>
                      <w:rFonts w:hint="eastAsia" w:ascii="仿宋" w:hAnsi="仿宋" w:eastAsia="仿宋" w:cs="仿宋"/>
                      <w:i w:val="0"/>
                      <w:iCs w:val="0"/>
                      <w:color w:val="000000"/>
                      <w:kern w:val="0"/>
                      <w:sz w:val="21"/>
                      <w:szCs w:val="21"/>
                      <w:u w:val="none"/>
                      <w:lang w:val="en-US" w:eastAsia="zh-CN" w:bidi="ar"/>
                    </w:rPr>
                    <w:t>年</w:t>
                  </w:r>
                </w:p>
              </w:tc>
            </w:tr>
          </w:tbl>
          <w:p w14:paraId="424FBB1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废水</w:t>
            </w:r>
          </w:p>
          <w:p w14:paraId="23ECA1FB">
            <w:pPr>
              <w:keepNext w:val="0"/>
              <w:keepLines w:val="0"/>
              <w:pageBreakBefore w:val="0"/>
              <w:widowControl w:val="0"/>
              <w:kinsoku/>
              <w:wordWrap/>
              <w:overflowPunct/>
              <w:topLinePunct w:val="0"/>
              <w:autoSpaceDE/>
              <w:autoSpaceDN/>
              <w:bidi w:val="0"/>
              <w:adjustRightInd/>
              <w:snapToGrid/>
              <w:spacing w:after="0" w:line="440" w:lineRule="exact"/>
              <w:ind w:left="0" w:leftChars="0" w:firstLine="512" w:firstLineChars="200"/>
              <w:jc w:val="both"/>
              <w:textAlignment w:val="auto"/>
              <w:rPr>
                <w:rFonts w:hint="eastAsia" w:ascii="仿宋" w:hAnsi="仿宋" w:eastAsia="仿宋" w:cs="仿宋"/>
                <w:snapToGrid w:val="0"/>
                <w:color w:val="auto"/>
                <w:spacing w:val="8"/>
                <w:kern w:val="2"/>
                <w:sz w:val="24"/>
                <w:szCs w:val="24"/>
                <w:lang w:val="en-US" w:eastAsia="zh-CN" w:bidi="ar-SA"/>
              </w:rPr>
            </w:pPr>
            <w:r>
              <w:rPr>
                <w:rFonts w:hint="eastAsia" w:ascii="仿宋" w:hAnsi="仿宋" w:eastAsia="仿宋" w:cs="仿宋"/>
                <w:snapToGrid w:val="0"/>
                <w:color w:val="auto"/>
                <w:spacing w:val="8"/>
                <w:kern w:val="2"/>
                <w:sz w:val="24"/>
                <w:szCs w:val="24"/>
                <w:lang w:val="en-US" w:eastAsia="zh-CN" w:bidi="ar-SA"/>
              </w:rPr>
              <w:t>1、废水产生及排放情况</w:t>
            </w:r>
          </w:p>
          <w:p w14:paraId="33C5062E">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spacing w:val="8"/>
                <w:kern w:val="2"/>
                <w:sz w:val="24"/>
                <w:szCs w:val="24"/>
                <w:lang w:val="en-US" w:eastAsia="zh-CN" w:bidi="ar-SA"/>
              </w:rPr>
            </w:pPr>
            <w:r>
              <w:rPr>
                <w:rFonts w:hint="eastAsia" w:ascii="仿宋" w:hAnsi="仿宋" w:eastAsia="仿宋" w:cs="仿宋"/>
                <w:snapToGrid w:val="0"/>
                <w:color w:val="000000"/>
                <w:kern w:val="0"/>
                <w:sz w:val="24"/>
                <w:szCs w:val="24"/>
                <w:lang w:val="en-US" w:eastAsia="zh-CN" w:bidi="ar"/>
              </w:rPr>
              <w:t>本项目所用污泥经污水处理厂脱水处理后水份降至70%左右，储存及发酵期间不会有渗滤液产生，水分通过发酵过程蒸发损耗，且污泥储存区设有导排沟和集液池，即使产生少量的渗滤液，应回用于生产，本环评不再单独分析。</w:t>
            </w:r>
            <w:r>
              <w:rPr>
                <w:rFonts w:hint="eastAsia" w:ascii="仿宋" w:hAnsi="仿宋" w:eastAsia="仿宋" w:cs="仿宋"/>
                <w:color w:val="auto"/>
                <w:sz w:val="24"/>
                <w:lang w:val="en-US" w:eastAsia="zh-CN"/>
              </w:rPr>
              <w:t>项目</w:t>
            </w:r>
            <w:r>
              <w:rPr>
                <w:rFonts w:hint="eastAsia" w:ascii="仿宋" w:hAnsi="仿宋" w:eastAsia="仿宋" w:cs="仿宋"/>
                <w:snapToGrid w:val="0"/>
                <w:color w:val="auto"/>
                <w:kern w:val="0"/>
                <w:sz w:val="24"/>
                <w:szCs w:val="24"/>
                <w:highlight w:val="none"/>
                <w:lang w:val="en-US" w:eastAsia="zh-CN"/>
              </w:rPr>
              <w:t>产生洗车废水、</w:t>
            </w:r>
            <w:r>
              <w:rPr>
                <w:rFonts w:hint="eastAsia" w:ascii="仿宋" w:hAnsi="仿宋" w:eastAsia="仿宋" w:cs="仿宋"/>
                <w:snapToGrid w:val="0"/>
                <w:color w:val="auto"/>
                <w:spacing w:val="8"/>
                <w:kern w:val="2"/>
                <w:sz w:val="24"/>
                <w:szCs w:val="24"/>
                <w:lang w:val="en-US" w:eastAsia="zh-CN" w:bidi="ar-SA"/>
              </w:rPr>
              <w:t>喷淋废水回用于生产部外排。</w:t>
            </w:r>
          </w:p>
          <w:p w14:paraId="55E4BBB7">
            <w:pPr>
              <w:keepNext w:val="0"/>
              <w:keepLines w:val="0"/>
              <w:pageBreakBefore w:val="0"/>
              <w:widowControl w:val="0"/>
              <w:kinsoku/>
              <w:wordWrap/>
              <w:overflowPunct/>
              <w:topLinePunct w:val="0"/>
              <w:autoSpaceDE/>
              <w:autoSpaceDN/>
              <w:bidi w:val="0"/>
              <w:adjustRightInd/>
              <w:snapToGrid/>
              <w:spacing w:after="0" w:line="440" w:lineRule="exact"/>
              <w:ind w:left="0" w:leftChars="0" w:firstLine="512" w:firstLineChars="200"/>
              <w:jc w:val="both"/>
              <w:textAlignment w:val="auto"/>
              <w:rPr>
                <w:rFonts w:hint="eastAsia" w:ascii="仿宋" w:hAnsi="仿宋" w:eastAsia="仿宋" w:cs="仿宋"/>
                <w:color w:val="auto"/>
                <w:sz w:val="24"/>
              </w:rPr>
            </w:pPr>
            <w:r>
              <w:rPr>
                <w:rFonts w:hint="eastAsia" w:ascii="仿宋" w:hAnsi="仿宋" w:eastAsia="仿宋" w:cs="仿宋"/>
                <w:snapToGrid w:val="0"/>
                <w:color w:val="auto"/>
                <w:spacing w:val="8"/>
                <w:kern w:val="2"/>
                <w:sz w:val="24"/>
                <w:szCs w:val="24"/>
                <w:lang w:val="en-US" w:eastAsia="zh-CN" w:bidi="ar-SA"/>
              </w:rPr>
              <w:t>因此厂区外排废水主要是生活污水。生活污水经化粪池后排入市政污水管网进入上窑工业聚集区污水处理厂处理</w:t>
            </w:r>
            <w:r>
              <w:rPr>
                <w:rFonts w:hint="eastAsia" w:ascii="仿宋" w:hAnsi="仿宋" w:eastAsia="仿宋" w:cs="仿宋"/>
                <w:color w:val="auto"/>
                <w:sz w:val="24"/>
              </w:rPr>
              <w:t>，属于间接排放。</w:t>
            </w:r>
          </w:p>
          <w:p w14:paraId="136B08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kern w:val="28"/>
                <w:sz w:val="24"/>
              </w:rPr>
            </w:pPr>
            <w:r>
              <w:rPr>
                <w:rFonts w:hint="eastAsia" w:ascii="仿宋" w:hAnsi="仿宋" w:eastAsia="仿宋" w:cs="仿宋"/>
                <w:color w:val="auto"/>
                <w:kern w:val="28"/>
                <w:sz w:val="24"/>
              </w:rPr>
              <w:t>本项目废水产生情况见下表：</w:t>
            </w:r>
          </w:p>
          <w:p w14:paraId="5342EBF2">
            <w:pPr>
              <w:spacing w:line="24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表4-</w:t>
            </w:r>
            <w:r>
              <w:rPr>
                <w:rFonts w:hint="eastAsia" w:ascii="仿宋" w:hAnsi="仿宋" w:eastAsia="仿宋" w:cs="仿宋"/>
                <w:b/>
                <w:color w:val="auto"/>
                <w:sz w:val="21"/>
                <w:szCs w:val="21"/>
                <w:lang w:val="en-US" w:eastAsia="zh-CN"/>
              </w:rPr>
              <w:t>11</w:t>
            </w:r>
            <w:r>
              <w:rPr>
                <w:rFonts w:hint="eastAsia" w:ascii="仿宋" w:hAnsi="仿宋" w:eastAsia="仿宋" w:cs="仿宋"/>
                <w:b/>
                <w:color w:val="auto"/>
                <w:sz w:val="21"/>
                <w:szCs w:val="21"/>
              </w:rPr>
              <w:t xml:space="preserve">  项目废水产生及排放情况一览表</w:t>
            </w:r>
          </w:p>
          <w:tbl>
            <w:tblPr>
              <w:tblStyle w:val="32"/>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80"/>
              <w:gridCol w:w="880"/>
              <w:gridCol w:w="1332"/>
              <w:gridCol w:w="881"/>
              <w:gridCol w:w="881"/>
              <w:gridCol w:w="881"/>
              <w:gridCol w:w="881"/>
              <w:gridCol w:w="916"/>
              <w:gridCol w:w="884"/>
            </w:tblGrid>
            <w:tr w14:paraId="0106C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5" w:hRule="atLeast"/>
                <w:jc w:val="center"/>
              </w:trPr>
              <w:tc>
                <w:tcPr>
                  <w:tcW w:w="1046" w:type="pct"/>
                  <w:gridSpan w:val="2"/>
                  <w:tcBorders>
                    <w:tl2br w:val="nil"/>
                    <w:tr2bl w:val="nil"/>
                  </w:tcBorders>
                  <w:shd w:val="clear" w:color="auto" w:fill="auto"/>
                  <w:vAlign w:val="center"/>
                </w:tcPr>
                <w:p w14:paraId="5A51300F">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污染物项目</w:t>
                  </w:r>
                </w:p>
              </w:tc>
              <w:tc>
                <w:tcPr>
                  <w:tcW w:w="792" w:type="pct"/>
                  <w:tcBorders>
                    <w:tl2br w:val="nil"/>
                    <w:tr2bl w:val="nil"/>
                  </w:tcBorders>
                  <w:shd w:val="clear" w:color="auto" w:fill="auto"/>
                  <w:vAlign w:val="center"/>
                </w:tcPr>
                <w:p w14:paraId="5D638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废水量t/a</w:t>
                  </w:r>
                </w:p>
              </w:tc>
              <w:tc>
                <w:tcPr>
                  <w:tcW w:w="523" w:type="pct"/>
                  <w:tcBorders>
                    <w:tl2br w:val="nil"/>
                    <w:tr2bl w:val="nil"/>
                  </w:tcBorders>
                  <w:shd w:val="clear" w:color="auto" w:fill="auto"/>
                  <w:vAlign w:val="center"/>
                </w:tcPr>
                <w:p w14:paraId="783B43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pH</w:t>
                  </w:r>
                </w:p>
              </w:tc>
              <w:tc>
                <w:tcPr>
                  <w:tcW w:w="523" w:type="pct"/>
                  <w:tcBorders>
                    <w:tl2br w:val="nil"/>
                    <w:tr2bl w:val="nil"/>
                  </w:tcBorders>
                  <w:shd w:val="clear" w:color="auto" w:fill="auto"/>
                  <w:vAlign w:val="center"/>
                </w:tcPr>
                <w:p w14:paraId="24E04A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COD</w:t>
                  </w:r>
                </w:p>
              </w:tc>
              <w:tc>
                <w:tcPr>
                  <w:tcW w:w="523" w:type="pct"/>
                  <w:tcBorders>
                    <w:tl2br w:val="nil"/>
                    <w:tr2bl w:val="nil"/>
                  </w:tcBorders>
                  <w:shd w:val="clear" w:color="auto" w:fill="auto"/>
                  <w:vAlign w:val="center"/>
                </w:tcPr>
                <w:p w14:paraId="03E8AA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BOD</w:t>
                  </w:r>
                  <w:r>
                    <w:rPr>
                      <w:rStyle w:val="127"/>
                      <w:snapToGrid w:val="0"/>
                      <w:color w:val="000000"/>
                      <w:sz w:val="21"/>
                      <w:szCs w:val="21"/>
                      <w:lang w:val="en-US" w:eastAsia="zh-CN" w:bidi="ar"/>
                    </w:rPr>
                    <w:t>5</w:t>
                  </w:r>
                </w:p>
              </w:tc>
              <w:tc>
                <w:tcPr>
                  <w:tcW w:w="523" w:type="pct"/>
                  <w:tcBorders>
                    <w:tl2br w:val="nil"/>
                    <w:tr2bl w:val="nil"/>
                  </w:tcBorders>
                  <w:shd w:val="clear" w:color="auto" w:fill="auto"/>
                  <w:vAlign w:val="center"/>
                </w:tcPr>
                <w:p w14:paraId="7BA226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SS</w:t>
                  </w:r>
                </w:p>
              </w:tc>
              <w:tc>
                <w:tcPr>
                  <w:tcW w:w="544" w:type="pct"/>
                  <w:tcBorders>
                    <w:tl2br w:val="nil"/>
                    <w:tr2bl w:val="nil"/>
                  </w:tcBorders>
                  <w:shd w:val="clear" w:color="auto" w:fill="auto"/>
                  <w:vAlign w:val="center"/>
                </w:tcPr>
                <w:p w14:paraId="5F9CE7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总磷</w:t>
                  </w:r>
                </w:p>
              </w:tc>
              <w:tc>
                <w:tcPr>
                  <w:tcW w:w="523" w:type="pct"/>
                  <w:tcBorders>
                    <w:tl2br w:val="nil"/>
                    <w:tr2bl w:val="nil"/>
                  </w:tcBorders>
                  <w:shd w:val="clear" w:color="auto" w:fill="auto"/>
                  <w:vAlign w:val="center"/>
                </w:tcPr>
                <w:p w14:paraId="029051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NH3-N</w:t>
                  </w:r>
                </w:p>
              </w:tc>
            </w:tr>
            <w:tr w14:paraId="2337A4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523" w:type="pct"/>
                  <w:vMerge w:val="restart"/>
                  <w:tcBorders>
                    <w:tl2br w:val="nil"/>
                    <w:tr2bl w:val="nil"/>
                  </w:tcBorders>
                  <w:shd w:val="clear" w:color="auto" w:fill="auto"/>
                  <w:vAlign w:val="center"/>
                </w:tcPr>
                <w:p w14:paraId="331EA0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生活污水</w:t>
                  </w:r>
                </w:p>
              </w:tc>
              <w:tc>
                <w:tcPr>
                  <w:tcW w:w="523" w:type="pct"/>
                  <w:tcBorders>
                    <w:tl2br w:val="nil"/>
                    <w:tr2bl w:val="nil"/>
                  </w:tcBorders>
                  <w:shd w:val="clear" w:color="auto" w:fill="auto"/>
                  <w:vAlign w:val="center"/>
                </w:tcPr>
                <w:p w14:paraId="60ACC6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产生浓度mg/L</w:t>
                  </w:r>
                </w:p>
              </w:tc>
              <w:tc>
                <w:tcPr>
                  <w:tcW w:w="792" w:type="pct"/>
                  <w:vMerge w:val="restart"/>
                  <w:tcBorders>
                    <w:tl2br w:val="nil"/>
                    <w:tr2bl w:val="nil"/>
                  </w:tcBorders>
                  <w:shd w:val="clear" w:color="auto" w:fill="auto"/>
                  <w:vAlign w:val="center"/>
                </w:tcPr>
                <w:p w14:paraId="69598A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792</w:t>
                  </w:r>
                </w:p>
              </w:tc>
              <w:tc>
                <w:tcPr>
                  <w:tcW w:w="523" w:type="pct"/>
                  <w:tcBorders>
                    <w:tl2br w:val="nil"/>
                    <w:tr2bl w:val="nil"/>
                  </w:tcBorders>
                  <w:shd w:val="clear" w:color="auto" w:fill="auto"/>
                  <w:vAlign w:val="center"/>
                </w:tcPr>
                <w:p w14:paraId="29D3AB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6~9</w:t>
                  </w:r>
                </w:p>
              </w:tc>
              <w:tc>
                <w:tcPr>
                  <w:tcW w:w="523" w:type="pct"/>
                  <w:tcBorders>
                    <w:tl2br w:val="nil"/>
                    <w:tr2bl w:val="nil"/>
                  </w:tcBorders>
                  <w:shd w:val="clear" w:color="auto" w:fill="auto"/>
                  <w:vAlign w:val="center"/>
                </w:tcPr>
                <w:p w14:paraId="7CAA71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300</w:t>
                  </w:r>
                </w:p>
              </w:tc>
              <w:tc>
                <w:tcPr>
                  <w:tcW w:w="523" w:type="pct"/>
                  <w:tcBorders>
                    <w:tl2br w:val="nil"/>
                    <w:tr2bl w:val="nil"/>
                  </w:tcBorders>
                  <w:shd w:val="clear" w:color="auto" w:fill="auto"/>
                  <w:vAlign w:val="center"/>
                </w:tcPr>
                <w:p w14:paraId="717AE6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150</w:t>
                  </w:r>
                </w:p>
              </w:tc>
              <w:tc>
                <w:tcPr>
                  <w:tcW w:w="523" w:type="pct"/>
                  <w:tcBorders>
                    <w:tl2br w:val="nil"/>
                    <w:tr2bl w:val="nil"/>
                  </w:tcBorders>
                  <w:shd w:val="clear" w:color="auto" w:fill="auto"/>
                  <w:vAlign w:val="center"/>
                </w:tcPr>
                <w:p w14:paraId="2F688D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180</w:t>
                  </w:r>
                </w:p>
              </w:tc>
              <w:tc>
                <w:tcPr>
                  <w:tcW w:w="544" w:type="pct"/>
                  <w:tcBorders>
                    <w:tl2br w:val="nil"/>
                    <w:tr2bl w:val="nil"/>
                  </w:tcBorders>
                  <w:shd w:val="clear" w:color="auto" w:fill="auto"/>
                  <w:vAlign w:val="center"/>
                </w:tcPr>
                <w:p w14:paraId="7B212F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4</w:t>
                  </w:r>
                </w:p>
              </w:tc>
              <w:tc>
                <w:tcPr>
                  <w:tcW w:w="523" w:type="pct"/>
                  <w:tcBorders>
                    <w:tl2br w:val="nil"/>
                    <w:tr2bl w:val="nil"/>
                  </w:tcBorders>
                  <w:shd w:val="clear" w:color="auto" w:fill="auto"/>
                  <w:vAlign w:val="center"/>
                </w:tcPr>
                <w:p w14:paraId="66E3CB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25</w:t>
                  </w:r>
                </w:p>
              </w:tc>
            </w:tr>
            <w:tr w14:paraId="46F53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23" w:type="pct"/>
                  <w:vMerge w:val="continue"/>
                  <w:tcBorders>
                    <w:tl2br w:val="nil"/>
                    <w:tr2bl w:val="nil"/>
                  </w:tcBorders>
                  <w:shd w:val="clear" w:color="auto" w:fill="auto"/>
                  <w:vAlign w:val="center"/>
                </w:tcPr>
                <w:p w14:paraId="5E34E946">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5CFE58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产生量t/a</w:t>
                  </w:r>
                </w:p>
              </w:tc>
              <w:tc>
                <w:tcPr>
                  <w:tcW w:w="792" w:type="pct"/>
                  <w:vMerge w:val="continue"/>
                  <w:tcBorders>
                    <w:tl2br w:val="nil"/>
                    <w:tr2bl w:val="nil"/>
                  </w:tcBorders>
                  <w:shd w:val="clear" w:color="auto" w:fill="auto"/>
                  <w:vAlign w:val="center"/>
                </w:tcPr>
                <w:p w14:paraId="74F6C419">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25633F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4C8E9D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0.238 </w:t>
                  </w:r>
                </w:p>
              </w:tc>
              <w:tc>
                <w:tcPr>
                  <w:tcW w:w="523" w:type="pct"/>
                  <w:tcBorders>
                    <w:tl2br w:val="nil"/>
                    <w:tr2bl w:val="nil"/>
                  </w:tcBorders>
                  <w:shd w:val="clear" w:color="auto" w:fill="auto"/>
                  <w:vAlign w:val="center"/>
                </w:tcPr>
                <w:p w14:paraId="57989B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0.119 </w:t>
                  </w:r>
                </w:p>
              </w:tc>
              <w:tc>
                <w:tcPr>
                  <w:tcW w:w="523" w:type="pct"/>
                  <w:tcBorders>
                    <w:tl2br w:val="nil"/>
                    <w:tr2bl w:val="nil"/>
                  </w:tcBorders>
                  <w:shd w:val="clear" w:color="auto" w:fill="auto"/>
                  <w:vAlign w:val="center"/>
                </w:tcPr>
                <w:p w14:paraId="78D5F4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0.143 </w:t>
                  </w:r>
                </w:p>
              </w:tc>
              <w:tc>
                <w:tcPr>
                  <w:tcW w:w="544" w:type="pct"/>
                  <w:tcBorders>
                    <w:tl2br w:val="nil"/>
                    <w:tr2bl w:val="nil"/>
                  </w:tcBorders>
                  <w:shd w:val="clear" w:color="auto" w:fill="auto"/>
                  <w:vAlign w:val="center"/>
                </w:tcPr>
                <w:p w14:paraId="5E6305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0.003 </w:t>
                  </w:r>
                </w:p>
              </w:tc>
              <w:tc>
                <w:tcPr>
                  <w:tcW w:w="523" w:type="pct"/>
                  <w:tcBorders>
                    <w:tl2br w:val="nil"/>
                    <w:tr2bl w:val="nil"/>
                  </w:tcBorders>
                  <w:shd w:val="clear" w:color="auto" w:fill="auto"/>
                  <w:vAlign w:val="center"/>
                </w:tcPr>
                <w:p w14:paraId="4BCD4E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0.020 </w:t>
                  </w:r>
                </w:p>
              </w:tc>
            </w:tr>
            <w:tr w14:paraId="31E2D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23" w:type="pct"/>
                  <w:vMerge w:val="continue"/>
                  <w:tcBorders>
                    <w:tl2br w:val="nil"/>
                    <w:tr2bl w:val="nil"/>
                  </w:tcBorders>
                  <w:shd w:val="clear" w:color="auto" w:fill="auto"/>
                  <w:vAlign w:val="center"/>
                </w:tcPr>
                <w:p w14:paraId="110299F0">
                  <w:pPr>
                    <w:jc w:val="center"/>
                    <w:rPr>
                      <w:rFonts w:hint="eastAsia" w:ascii="仿宋" w:hAnsi="仿宋" w:eastAsia="仿宋" w:cs="仿宋"/>
                      <w:i w:val="0"/>
                      <w:iCs w:val="0"/>
                      <w:color w:val="000000"/>
                      <w:sz w:val="21"/>
                      <w:szCs w:val="21"/>
                      <w:u w:val="none"/>
                    </w:rPr>
                  </w:pPr>
                </w:p>
              </w:tc>
              <w:tc>
                <w:tcPr>
                  <w:tcW w:w="4476" w:type="pct"/>
                  <w:gridSpan w:val="8"/>
                  <w:tcBorders>
                    <w:tl2br w:val="nil"/>
                    <w:tr2bl w:val="nil"/>
                  </w:tcBorders>
                  <w:shd w:val="clear" w:color="auto" w:fill="auto"/>
                  <w:vAlign w:val="center"/>
                </w:tcPr>
                <w:p w14:paraId="6F0BAE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化粪池</w:t>
                  </w:r>
                </w:p>
              </w:tc>
            </w:tr>
            <w:tr w14:paraId="4FF4E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523" w:type="pct"/>
                  <w:vMerge w:val="restart"/>
                  <w:tcBorders>
                    <w:tl2br w:val="nil"/>
                    <w:tr2bl w:val="nil"/>
                  </w:tcBorders>
                  <w:shd w:val="clear" w:color="auto" w:fill="auto"/>
                  <w:vAlign w:val="center"/>
                </w:tcPr>
                <w:p w14:paraId="3949B2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总排口</w:t>
                  </w:r>
                </w:p>
              </w:tc>
              <w:tc>
                <w:tcPr>
                  <w:tcW w:w="523" w:type="pct"/>
                  <w:tcBorders>
                    <w:tl2br w:val="nil"/>
                    <w:tr2bl w:val="nil"/>
                  </w:tcBorders>
                  <w:shd w:val="clear" w:color="auto" w:fill="auto"/>
                  <w:vAlign w:val="center"/>
                </w:tcPr>
                <w:p w14:paraId="1DC9E1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排放浓度mg/L</w:t>
                  </w:r>
                </w:p>
              </w:tc>
              <w:tc>
                <w:tcPr>
                  <w:tcW w:w="792" w:type="pct"/>
                  <w:vMerge w:val="restart"/>
                  <w:tcBorders>
                    <w:tl2br w:val="nil"/>
                    <w:tr2bl w:val="nil"/>
                  </w:tcBorders>
                  <w:shd w:val="clear" w:color="auto" w:fill="auto"/>
                  <w:vAlign w:val="center"/>
                </w:tcPr>
                <w:p w14:paraId="4F07C6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792</w:t>
                  </w:r>
                </w:p>
              </w:tc>
              <w:tc>
                <w:tcPr>
                  <w:tcW w:w="523" w:type="pct"/>
                  <w:tcBorders>
                    <w:tl2br w:val="nil"/>
                    <w:tr2bl w:val="nil"/>
                  </w:tcBorders>
                  <w:shd w:val="clear" w:color="auto" w:fill="auto"/>
                  <w:vAlign w:val="center"/>
                </w:tcPr>
                <w:p w14:paraId="2D4407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6~9</w:t>
                  </w:r>
                </w:p>
              </w:tc>
              <w:tc>
                <w:tcPr>
                  <w:tcW w:w="523" w:type="pct"/>
                  <w:tcBorders>
                    <w:tl2br w:val="nil"/>
                    <w:tr2bl w:val="nil"/>
                  </w:tcBorders>
                  <w:shd w:val="clear" w:color="auto" w:fill="auto"/>
                  <w:vAlign w:val="center"/>
                </w:tcPr>
                <w:p w14:paraId="6C00FA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300</w:t>
                  </w:r>
                </w:p>
              </w:tc>
              <w:tc>
                <w:tcPr>
                  <w:tcW w:w="523" w:type="pct"/>
                  <w:tcBorders>
                    <w:tl2br w:val="nil"/>
                    <w:tr2bl w:val="nil"/>
                  </w:tcBorders>
                  <w:shd w:val="clear" w:color="auto" w:fill="auto"/>
                  <w:vAlign w:val="center"/>
                </w:tcPr>
                <w:p w14:paraId="42D2C6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150</w:t>
                  </w:r>
                </w:p>
              </w:tc>
              <w:tc>
                <w:tcPr>
                  <w:tcW w:w="523" w:type="pct"/>
                  <w:tcBorders>
                    <w:tl2br w:val="nil"/>
                    <w:tr2bl w:val="nil"/>
                  </w:tcBorders>
                  <w:shd w:val="clear" w:color="auto" w:fill="auto"/>
                  <w:vAlign w:val="center"/>
                </w:tcPr>
                <w:p w14:paraId="10DEBB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180</w:t>
                  </w:r>
                </w:p>
              </w:tc>
              <w:tc>
                <w:tcPr>
                  <w:tcW w:w="544" w:type="pct"/>
                  <w:tcBorders>
                    <w:tl2br w:val="nil"/>
                    <w:tr2bl w:val="nil"/>
                  </w:tcBorders>
                  <w:shd w:val="clear" w:color="auto" w:fill="auto"/>
                  <w:vAlign w:val="center"/>
                </w:tcPr>
                <w:p w14:paraId="6A7D3B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4</w:t>
                  </w:r>
                </w:p>
              </w:tc>
              <w:tc>
                <w:tcPr>
                  <w:tcW w:w="523" w:type="pct"/>
                  <w:tcBorders>
                    <w:tl2br w:val="nil"/>
                    <w:tr2bl w:val="nil"/>
                  </w:tcBorders>
                  <w:shd w:val="clear" w:color="auto" w:fill="auto"/>
                  <w:vAlign w:val="center"/>
                </w:tcPr>
                <w:p w14:paraId="2DD41F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25</w:t>
                  </w:r>
                </w:p>
              </w:tc>
            </w:tr>
            <w:tr w14:paraId="4942B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23" w:type="pct"/>
                  <w:vMerge w:val="continue"/>
                  <w:tcBorders>
                    <w:tl2br w:val="nil"/>
                    <w:tr2bl w:val="nil"/>
                  </w:tcBorders>
                  <w:shd w:val="clear" w:color="auto" w:fill="auto"/>
                  <w:vAlign w:val="center"/>
                </w:tcPr>
                <w:p w14:paraId="2C1A01CE">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3937B6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排放量t/a</w:t>
                  </w:r>
                </w:p>
              </w:tc>
              <w:tc>
                <w:tcPr>
                  <w:tcW w:w="792" w:type="pct"/>
                  <w:vMerge w:val="continue"/>
                  <w:tcBorders>
                    <w:tl2br w:val="nil"/>
                    <w:tr2bl w:val="nil"/>
                  </w:tcBorders>
                  <w:shd w:val="clear" w:color="auto" w:fill="auto"/>
                  <w:vAlign w:val="center"/>
                </w:tcPr>
                <w:p w14:paraId="060A73F7">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0DC795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07816A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0.238 </w:t>
                  </w:r>
                </w:p>
              </w:tc>
              <w:tc>
                <w:tcPr>
                  <w:tcW w:w="523" w:type="pct"/>
                  <w:tcBorders>
                    <w:tl2br w:val="nil"/>
                    <w:tr2bl w:val="nil"/>
                  </w:tcBorders>
                  <w:shd w:val="clear" w:color="auto" w:fill="auto"/>
                  <w:vAlign w:val="center"/>
                </w:tcPr>
                <w:p w14:paraId="1DCEBF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0.119 </w:t>
                  </w:r>
                </w:p>
              </w:tc>
              <w:tc>
                <w:tcPr>
                  <w:tcW w:w="523" w:type="pct"/>
                  <w:tcBorders>
                    <w:tl2br w:val="nil"/>
                    <w:tr2bl w:val="nil"/>
                  </w:tcBorders>
                  <w:shd w:val="clear" w:color="auto" w:fill="auto"/>
                  <w:vAlign w:val="center"/>
                </w:tcPr>
                <w:p w14:paraId="11ADFF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0.143 </w:t>
                  </w:r>
                </w:p>
              </w:tc>
              <w:tc>
                <w:tcPr>
                  <w:tcW w:w="544" w:type="pct"/>
                  <w:tcBorders>
                    <w:tl2br w:val="nil"/>
                    <w:tr2bl w:val="nil"/>
                  </w:tcBorders>
                  <w:shd w:val="clear" w:color="auto" w:fill="auto"/>
                  <w:vAlign w:val="center"/>
                </w:tcPr>
                <w:p w14:paraId="719E64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0.003 </w:t>
                  </w:r>
                </w:p>
              </w:tc>
              <w:tc>
                <w:tcPr>
                  <w:tcW w:w="523" w:type="pct"/>
                  <w:tcBorders>
                    <w:tl2br w:val="nil"/>
                    <w:tr2bl w:val="nil"/>
                  </w:tcBorders>
                  <w:shd w:val="clear" w:color="auto" w:fill="auto"/>
                  <w:vAlign w:val="center"/>
                </w:tcPr>
                <w:p w14:paraId="743D51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 xml:space="preserve">0.020 </w:t>
                  </w:r>
                </w:p>
              </w:tc>
            </w:tr>
            <w:tr w14:paraId="6DCF84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523" w:type="pct"/>
                  <w:vMerge w:val="restart"/>
                  <w:tcBorders>
                    <w:tl2br w:val="nil"/>
                    <w:tr2bl w:val="nil"/>
                  </w:tcBorders>
                  <w:shd w:val="clear" w:color="auto" w:fill="auto"/>
                  <w:vAlign w:val="center"/>
                </w:tcPr>
                <w:p w14:paraId="10B0A3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上窑工业聚集区污水处理厂</w:t>
                  </w:r>
                </w:p>
              </w:tc>
              <w:tc>
                <w:tcPr>
                  <w:tcW w:w="523" w:type="pct"/>
                  <w:tcBorders>
                    <w:tl2br w:val="nil"/>
                    <w:tr2bl w:val="nil"/>
                  </w:tcBorders>
                  <w:shd w:val="clear" w:color="auto" w:fill="auto"/>
                  <w:vAlign w:val="center"/>
                </w:tcPr>
                <w:p w14:paraId="016117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接管标准mg/L</w:t>
                  </w:r>
                </w:p>
              </w:tc>
              <w:tc>
                <w:tcPr>
                  <w:tcW w:w="792" w:type="pct"/>
                  <w:tcBorders>
                    <w:tl2br w:val="nil"/>
                    <w:tr2bl w:val="nil"/>
                  </w:tcBorders>
                  <w:shd w:val="clear" w:color="auto" w:fill="auto"/>
                  <w:vAlign w:val="center"/>
                </w:tcPr>
                <w:p w14:paraId="7B8378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388729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6~9</w:t>
                  </w:r>
                </w:p>
              </w:tc>
              <w:tc>
                <w:tcPr>
                  <w:tcW w:w="523" w:type="pct"/>
                  <w:tcBorders>
                    <w:tl2br w:val="nil"/>
                    <w:tr2bl w:val="nil"/>
                  </w:tcBorders>
                  <w:shd w:val="clear" w:color="auto" w:fill="auto"/>
                  <w:vAlign w:val="center"/>
                </w:tcPr>
                <w:p w14:paraId="548871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300</w:t>
                  </w:r>
                </w:p>
              </w:tc>
              <w:tc>
                <w:tcPr>
                  <w:tcW w:w="523" w:type="pct"/>
                  <w:tcBorders>
                    <w:tl2br w:val="nil"/>
                    <w:tr2bl w:val="nil"/>
                  </w:tcBorders>
                  <w:shd w:val="clear" w:color="auto" w:fill="auto"/>
                  <w:vAlign w:val="center"/>
                </w:tcPr>
                <w:p w14:paraId="610EF7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150</w:t>
                  </w:r>
                </w:p>
              </w:tc>
              <w:tc>
                <w:tcPr>
                  <w:tcW w:w="523" w:type="pct"/>
                  <w:tcBorders>
                    <w:tl2br w:val="nil"/>
                    <w:tr2bl w:val="nil"/>
                  </w:tcBorders>
                  <w:shd w:val="clear" w:color="auto" w:fill="auto"/>
                  <w:vAlign w:val="center"/>
                </w:tcPr>
                <w:p w14:paraId="683F32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180</w:t>
                  </w:r>
                </w:p>
              </w:tc>
              <w:tc>
                <w:tcPr>
                  <w:tcW w:w="544" w:type="pct"/>
                  <w:tcBorders>
                    <w:tl2br w:val="nil"/>
                    <w:tr2bl w:val="nil"/>
                  </w:tcBorders>
                  <w:shd w:val="clear" w:color="auto" w:fill="auto"/>
                  <w:vAlign w:val="center"/>
                </w:tcPr>
                <w:p w14:paraId="4C10C3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438892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30</w:t>
                  </w:r>
                </w:p>
              </w:tc>
            </w:tr>
            <w:tr w14:paraId="04999B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23" w:type="pct"/>
                  <w:vMerge w:val="continue"/>
                  <w:tcBorders>
                    <w:tl2br w:val="nil"/>
                    <w:tr2bl w:val="nil"/>
                  </w:tcBorders>
                  <w:shd w:val="clear" w:color="auto" w:fill="auto"/>
                  <w:vAlign w:val="center"/>
                </w:tcPr>
                <w:p w14:paraId="34E158A8">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11FE21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尾水执行标准mg/L</w:t>
                  </w:r>
                </w:p>
              </w:tc>
              <w:tc>
                <w:tcPr>
                  <w:tcW w:w="792" w:type="pct"/>
                  <w:tcBorders>
                    <w:tl2br w:val="nil"/>
                    <w:tr2bl w:val="nil"/>
                  </w:tcBorders>
                  <w:shd w:val="clear" w:color="auto" w:fill="auto"/>
                  <w:vAlign w:val="center"/>
                </w:tcPr>
                <w:p w14:paraId="0097CA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4EDE50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6~9</w:t>
                  </w:r>
                </w:p>
              </w:tc>
              <w:tc>
                <w:tcPr>
                  <w:tcW w:w="523" w:type="pct"/>
                  <w:tcBorders>
                    <w:tl2br w:val="nil"/>
                    <w:tr2bl w:val="nil"/>
                  </w:tcBorders>
                  <w:shd w:val="clear" w:color="auto" w:fill="auto"/>
                  <w:vAlign w:val="center"/>
                </w:tcPr>
                <w:p w14:paraId="0C847E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50</w:t>
                  </w:r>
                </w:p>
              </w:tc>
              <w:tc>
                <w:tcPr>
                  <w:tcW w:w="523" w:type="pct"/>
                  <w:tcBorders>
                    <w:tl2br w:val="nil"/>
                    <w:tr2bl w:val="nil"/>
                  </w:tcBorders>
                  <w:shd w:val="clear" w:color="auto" w:fill="auto"/>
                  <w:vAlign w:val="center"/>
                </w:tcPr>
                <w:p w14:paraId="2E3158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10</w:t>
                  </w:r>
                </w:p>
              </w:tc>
              <w:tc>
                <w:tcPr>
                  <w:tcW w:w="523" w:type="pct"/>
                  <w:tcBorders>
                    <w:tl2br w:val="nil"/>
                    <w:tr2bl w:val="nil"/>
                  </w:tcBorders>
                  <w:shd w:val="clear" w:color="auto" w:fill="auto"/>
                  <w:vAlign w:val="center"/>
                </w:tcPr>
                <w:p w14:paraId="5F6456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10</w:t>
                  </w:r>
                </w:p>
              </w:tc>
              <w:tc>
                <w:tcPr>
                  <w:tcW w:w="544" w:type="pct"/>
                  <w:tcBorders>
                    <w:tl2br w:val="nil"/>
                    <w:tr2bl w:val="nil"/>
                  </w:tcBorders>
                  <w:shd w:val="clear" w:color="auto" w:fill="auto"/>
                  <w:vAlign w:val="center"/>
                </w:tcPr>
                <w:p w14:paraId="1D63D0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0.5</w:t>
                  </w:r>
                </w:p>
              </w:tc>
              <w:tc>
                <w:tcPr>
                  <w:tcW w:w="523" w:type="pct"/>
                  <w:tcBorders>
                    <w:tl2br w:val="nil"/>
                    <w:tr2bl w:val="nil"/>
                  </w:tcBorders>
                  <w:shd w:val="clear" w:color="auto" w:fill="auto"/>
                  <w:vAlign w:val="center"/>
                </w:tcPr>
                <w:p w14:paraId="4FE4CE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5</w:t>
                  </w:r>
                </w:p>
              </w:tc>
            </w:tr>
            <w:tr w14:paraId="768ECB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23" w:type="pct"/>
                  <w:vMerge w:val="continue"/>
                  <w:tcBorders>
                    <w:tl2br w:val="nil"/>
                    <w:tr2bl w:val="nil"/>
                  </w:tcBorders>
                  <w:shd w:val="clear" w:color="auto" w:fill="auto"/>
                  <w:vAlign w:val="center"/>
                </w:tcPr>
                <w:p w14:paraId="5AC12D57">
                  <w:pPr>
                    <w:jc w:val="center"/>
                    <w:rPr>
                      <w:rFonts w:hint="eastAsia" w:ascii="仿宋" w:hAnsi="仿宋" w:eastAsia="仿宋" w:cs="仿宋"/>
                      <w:i w:val="0"/>
                      <w:iCs w:val="0"/>
                      <w:color w:val="000000"/>
                      <w:sz w:val="21"/>
                      <w:szCs w:val="21"/>
                      <w:u w:val="none"/>
                    </w:rPr>
                  </w:pPr>
                </w:p>
              </w:tc>
              <w:tc>
                <w:tcPr>
                  <w:tcW w:w="523" w:type="pct"/>
                  <w:tcBorders>
                    <w:tl2br w:val="nil"/>
                    <w:tr2bl w:val="nil"/>
                  </w:tcBorders>
                  <w:shd w:val="clear" w:color="auto" w:fill="auto"/>
                  <w:vAlign w:val="center"/>
                </w:tcPr>
                <w:p w14:paraId="3E4626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排放量t/a</w:t>
                  </w:r>
                </w:p>
              </w:tc>
              <w:tc>
                <w:tcPr>
                  <w:tcW w:w="792" w:type="pct"/>
                  <w:tcBorders>
                    <w:tl2br w:val="nil"/>
                    <w:tr2bl w:val="nil"/>
                  </w:tcBorders>
                  <w:shd w:val="clear" w:color="auto" w:fill="auto"/>
                  <w:vAlign w:val="center"/>
                </w:tcPr>
                <w:p w14:paraId="750570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792</w:t>
                  </w:r>
                </w:p>
              </w:tc>
              <w:tc>
                <w:tcPr>
                  <w:tcW w:w="523" w:type="pct"/>
                  <w:tcBorders>
                    <w:tl2br w:val="nil"/>
                    <w:tr2bl w:val="nil"/>
                  </w:tcBorders>
                  <w:shd w:val="clear" w:color="auto" w:fill="auto"/>
                  <w:vAlign w:val="center"/>
                </w:tcPr>
                <w:p w14:paraId="6D0616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w:t>
                  </w:r>
                </w:p>
              </w:tc>
              <w:tc>
                <w:tcPr>
                  <w:tcW w:w="523" w:type="pct"/>
                  <w:tcBorders>
                    <w:tl2br w:val="nil"/>
                    <w:tr2bl w:val="nil"/>
                  </w:tcBorders>
                  <w:shd w:val="clear" w:color="auto" w:fill="auto"/>
                  <w:vAlign w:val="center"/>
                </w:tcPr>
                <w:p w14:paraId="61BEDF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0.0396</w:t>
                  </w:r>
                </w:p>
              </w:tc>
              <w:tc>
                <w:tcPr>
                  <w:tcW w:w="523" w:type="pct"/>
                  <w:tcBorders>
                    <w:tl2br w:val="nil"/>
                    <w:tr2bl w:val="nil"/>
                  </w:tcBorders>
                  <w:shd w:val="clear" w:color="auto" w:fill="auto"/>
                  <w:vAlign w:val="center"/>
                </w:tcPr>
                <w:p w14:paraId="3C1451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0.00792</w:t>
                  </w:r>
                </w:p>
              </w:tc>
              <w:tc>
                <w:tcPr>
                  <w:tcW w:w="523" w:type="pct"/>
                  <w:tcBorders>
                    <w:tl2br w:val="nil"/>
                    <w:tr2bl w:val="nil"/>
                  </w:tcBorders>
                  <w:shd w:val="clear" w:color="auto" w:fill="auto"/>
                  <w:vAlign w:val="center"/>
                </w:tcPr>
                <w:p w14:paraId="6300D4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0.00792</w:t>
                  </w:r>
                </w:p>
              </w:tc>
              <w:tc>
                <w:tcPr>
                  <w:tcW w:w="544" w:type="pct"/>
                  <w:tcBorders>
                    <w:tl2br w:val="nil"/>
                    <w:tr2bl w:val="nil"/>
                  </w:tcBorders>
                  <w:shd w:val="clear" w:color="auto" w:fill="auto"/>
                  <w:vAlign w:val="center"/>
                </w:tcPr>
                <w:p w14:paraId="6BDEEE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0.000396</w:t>
                  </w:r>
                </w:p>
              </w:tc>
              <w:tc>
                <w:tcPr>
                  <w:tcW w:w="523" w:type="pct"/>
                  <w:tcBorders>
                    <w:tl2br w:val="nil"/>
                    <w:tr2bl w:val="nil"/>
                  </w:tcBorders>
                  <w:shd w:val="clear" w:color="auto" w:fill="auto"/>
                  <w:vAlign w:val="center"/>
                </w:tcPr>
                <w:p w14:paraId="5B5A7D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0.00396</w:t>
                  </w:r>
                </w:p>
              </w:tc>
            </w:tr>
          </w:tbl>
          <w:p w14:paraId="5A9D5A57">
            <w:pPr>
              <w:spacing w:line="24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表4-</w:t>
            </w:r>
            <w:r>
              <w:rPr>
                <w:rFonts w:hint="eastAsia" w:ascii="仿宋" w:hAnsi="仿宋" w:eastAsia="仿宋" w:cs="仿宋"/>
                <w:b/>
                <w:color w:val="auto"/>
                <w:sz w:val="21"/>
                <w:szCs w:val="21"/>
                <w:lang w:val="en-US" w:eastAsia="zh-CN"/>
              </w:rPr>
              <w:t xml:space="preserve">12  </w:t>
            </w:r>
            <w:r>
              <w:rPr>
                <w:rFonts w:hint="eastAsia" w:ascii="仿宋" w:hAnsi="仿宋" w:eastAsia="仿宋" w:cs="仿宋"/>
                <w:b/>
                <w:color w:val="auto"/>
                <w:sz w:val="21"/>
                <w:szCs w:val="21"/>
              </w:rPr>
              <w:t>废水类别、污染物及污染治理设施信息表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38"/>
              <w:gridCol w:w="581"/>
              <w:gridCol w:w="875"/>
              <w:gridCol w:w="571"/>
              <w:gridCol w:w="1025"/>
              <w:gridCol w:w="745"/>
              <w:gridCol w:w="679"/>
              <w:gridCol w:w="681"/>
              <w:gridCol w:w="507"/>
              <w:gridCol w:w="804"/>
              <w:gridCol w:w="1615"/>
            </w:tblGrid>
            <w:tr w14:paraId="59D1D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00" w:type="pct"/>
                  <w:vMerge w:val="restart"/>
                  <w:tcBorders>
                    <w:tl2br w:val="nil"/>
                    <w:tr2bl w:val="nil"/>
                  </w:tcBorders>
                  <w:vAlign w:val="center"/>
                </w:tcPr>
                <w:p w14:paraId="3223EE0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序号</w:t>
                  </w:r>
                </w:p>
              </w:tc>
              <w:tc>
                <w:tcPr>
                  <w:tcW w:w="345" w:type="pct"/>
                  <w:vMerge w:val="restart"/>
                  <w:tcBorders>
                    <w:tl2br w:val="nil"/>
                    <w:tr2bl w:val="nil"/>
                  </w:tcBorders>
                  <w:vAlign w:val="center"/>
                </w:tcPr>
                <w:p w14:paraId="5AAB3D6D">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废水类别</w:t>
                  </w:r>
                </w:p>
              </w:tc>
              <w:tc>
                <w:tcPr>
                  <w:tcW w:w="519" w:type="pct"/>
                  <w:vMerge w:val="restart"/>
                  <w:tcBorders>
                    <w:tl2br w:val="nil"/>
                    <w:tr2bl w:val="nil"/>
                  </w:tcBorders>
                  <w:vAlign w:val="center"/>
                </w:tcPr>
                <w:p w14:paraId="5B5A53E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污染物种类</w:t>
                  </w:r>
                </w:p>
              </w:tc>
              <w:tc>
                <w:tcPr>
                  <w:tcW w:w="339" w:type="pct"/>
                  <w:vMerge w:val="restart"/>
                  <w:tcBorders>
                    <w:tl2br w:val="nil"/>
                    <w:tr2bl w:val="nil"/>
                  </w:tcBorders>
                  <w:vAlign w:val="center"/>
                </w:tcPr>
                <w:p w14:paraId="772D5DDE">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w:t>
                  </w:r>
                </w:p>
                <w:p w14:paraId="22AC17FA">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去向</w:t>
                  </w:r>
                </w:p>
              </w:tc>
              <w:tc>
                <w:tcPr>
                  <w:tcW w:w="608" w:type="pct"/>
                  <w:vMerge w:val="restart"/>
                  <w:tcBorders>
                    <w:tl2br w:val="nil"/>
                    <w:tr2bl w:val="nil"/>
                  </w:tcBorders>
                  <w:vAlign w:val="center"/>
                </w:tcPr>
                <w:p w14:paraId="58847573">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w:t>
                  </w:r>
                </w:p>
                <w:p w14:paraId="7959CD3E">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规律</w:t>
                  </w:r>
                </w:p>
              </w:tc>
              <w:tc>
                <w:tcPr>
                  <w:tcW w:w="1249" w:type="pct"/>
                  <w:gridSpan w:val="3"/>
                  <w:tcBorders>
                    <w:tl2br w:val="nil"/>
                    <w:tr2bl w:val="nil"/>
                  </w:tcBorders>
                  <w:vAlign w:val="center"/>
                </w:tcPr>
                <w:p w14:paraId="34AF75E5">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污染治理设施</w:t>
                  </w:r>
                </w:p>
              </w:tc>
              <w:tc>
                <w:tcPr>
                  <w:tcW w:w="301" w:type="pct"/>
                  <w:vMerge w:val="restart"/>
                  <w:tcBorders>
                    <w:tl2br w:val="nil"/>
                    <w:tr2bl w:val="nil"/>
                  </w:tcBorders>
                  <w:vAlign w:val="center"/>
                </w:tcPr>
                <w:p w14:paraId="1818711A">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排放口编号</w:t>
                  </w:r>
                </w:p>
              </w:tc>
              <w:tc>
                <w:tcPr>
                  <w:tcW w:w="477" w:type="pct"/>
                  <w:vMerge w:val="restart"/>
                  <w:tcBorders>
                    <w:tl2br w:val="nil"/>
                    <w:tr2bl w:val="nil"/>
                  </w:tcBorders>
                  <w:vAlign w:val="center"/>
                </w:tcPr>
                <w:p w14:paraId="2EA6D92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排放口设施是否符合要求</w:t>
                  </w:r>
                </w:p>
              </w:tc>
              <w:tc>
                <w:tcPr>
                  <w:tcW w:w="958" w:type="pct"/>
                  <w:vMerge w:val="restart"/>
                  <w:tcBorders>
                    <w:tl2br w:val="nil"/>
                    <w:tr2bl w:val="nil"/>
                  </w:tcBorders>
                  <w:vAlign w:val="center"/>
                </w:tcPr>
                <w:p w14:paraId="2FA7AEF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排放口类型</w:t>
                  </w:r>
                </w:p>
              </w:tc>
            </w:tr>
            <w:tr w14:paraId="2E9B6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00" w:type="pct"/>
                  <w:vMerge w:val="continue"/>
                  <w:tcBorders>
                    <w:tl2br w:val="nil"/>
                    <w:tr2bl w:val="nil"/>
                  </w:tcBorders>
                  <w:vAlign w:val="center"/>
                </w:tcPr>
                <w:p w14:paraId="184E3DB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345" w:type="pct"/>
                  <w:vMerge w:val="continue"/>
                  <w:tcBorders>
                    <w:tl2br w:val="nil"/>
                    <w:tr2bl w:val="nil"/>
                  </w:tcBorders>
                  <w:vAlign w:val="center"/>
                </w:tcPr>
                <w:p w14:paraId="07E82BD8">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519" w:type="pct"/>
                  <w:vMerge w:val="continue"/>
                  <w:tcBorders>
                    <w:tl2br w:val="nil"/>
                    <w:tr2bl w:val="nil"/>
                  </w:tcBorders>
                  <w:vAlign w:val="center"/>
                </w:tcPr>
                <w:p w14:paraId="7A52C4C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339" w:type="pct"/>
                  <w:vMerge w:val="continue"/>
                  <w:tcBorders>
                    <w:tl2br w:val="nil"/>
                    <w:tr2bl w:val="nil"/>
                  </w:tcBorders>
                  <w:vAlign w:val="center"/>
                </w:tcPr>
                <w:p w14:paraId="6DEAAAB4">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608" w:type="pct"/>
                  <w:vMerge w:val="continue"/>
                  <w:tcBorders>
                    <w:tl2br w:val="nil"/>
                    <w:tr2bl w:val="nil"/>
                  </w:tcBorders>
                  <w:vAlign w:val="center"/>
                </w:tcPr>
                <w:p w14:paraId="0C78F508">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442" w:type="pct"/>
                  <w:tcBorders>
                    <w:tl2br w:val="nil"/>
                    <w:tr2bl w:val="nil"/>
                  </w:tcBorders>
                  <w:vAlign w:val="center"/>
                </w:tcPr>
                <w:p w14:paraId="449272D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污染治理设施编号</w:t>
                  </w:r>
                </w:p>
              </w:tc>
              <w:tc>
                <w:tcPr>
                  <w:tcW w:w="402" w:type="pct"/>
                  <w:tcBorders>
                    <w:tl2br w:val="nil"/>
                    <w:tr2bl w:val="nil"/>
                  </w:tcBorders>
                  <w:vAlign w:val="center"/>
                </w:tcPr>
                <w:p w14:paraId="1A2EC37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污染治理设施名称</w:t>
                  </w:r>
                </w:p>
              </w:tc>
              <w:tc>
                <w:tcPr>
                  <w:tcW w:w="404" w:type="pct"/>
                  <w:tcBorders>
                    <w:tl2br w:val="nil"/>
                    <w:tr2bl w:val="nil"/>
                  </w:tcBorders>
                  <w:vAlign w:val="center"/>
                </w:tcPr>
                <w:p w14:paraId="79BCFAC9">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污染治理设施工艺</w:t>
                  </w:r>
                </w:p>
              </w:tc>
              <w:tc>
                <w:tcPr>
                  <w:tcW w:w="301" w:type="pct"/>
                  <w:vMerge w:val="continue"/>
                  <w:tcBorders>
                    <w:tl2br w:val="nil"/>
                    <w:tr2bl w:val="nil"/>
                  </w:tcBorders>
                  <w:vAlign w:val="center"/>
                </w:tcPr>
                <w:p w14:paraId="6E03941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477" w:type="pct"/>
                  <w:vMerge w:val="continue"/>
                  <w:tcBorders>
                    <w:tl2br w:val="nil"/>
                    <w:tr2bl w:val="nil"/>
                  </w:tcBorders>
                  <w:vAlign w:val="center"/>
                </w:tcPr>
                <w:p w14:paraId="3015C20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c>
                <w:tcPr>
                  <w:tcW w:w="958" w:type="pct"/>
                  <w:vMerge w:val="continue"/>
                  <w:tcBorders>
                    <w:tl2br w:val="nil"/>
                    <w:tr2bl w:val="nil"/>
                  </w:tcBorders>
                  <w:vAlign w:val="center"/>
                </w:tcPr>
                <w:p w14:paraId="5C2834A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p>
              </w:tc>
            </w:tr>
            <w:tr w14:paraId="3CFE8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351" w:hRule="atLeast"/>
                <w:jc w:val="center"/>
              </w:trPr>
              <w:tc>
                <w:tcPr>
                  <w:tcW w:w="200" w:type="pct"/>
                  <w:tcBorders>
                    <w:tl2br w:val="nil"/>
                    <w:tr2bl w:val="nil"/>
                  </w:tcBorders>
                  <w:vAlign w:val="center"/>
                </w:tcPr>
                <w:p w14:paraId="4A6054DE">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1</w:t>
                  </w:r>
                </w:p>
              </w:tc>
              <w:tc>
                <w:tcPr>
                  <w:tcW w:w="345" w:type="pct"/>
                  <w:tcBorders>
                    <w:tl2br w:val="nil"/>
                    <w:tr2bl w:val="nil"/>
                  </w:tcBorders>
                  <w:vAlign w:val="center"/>
                </w:tcPr>
                <w:p w14:paraId="3C68188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生活废水</w:t>
                  </w:r>
                </w:p>
              </w:tc>
              <w:tc>
                <w:tcPr>
                  <w:tcW w:w="519" w:type="pct"/>
                  <w:tcBorders>
                    <w:tl2br w:val="nil"/>
                    <w:tr2bl w:val="nil"/>
                  </w:tcBorders>
                  <w:vAlign w:val="center"/>
                </w:tcPr>
                <w:p w14:paraId="697B4B1B">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snapToGrid w:val="0"/>
                      <w:color w:val="auto"/>
                      <w:kern w:val="0"/>
                      <w:lang w:val="en-US" w:eastAsia="zh-CN"/>
                    </w:rPr>
                  </w:pPr>
                  <w:r>
                    <w:rPr>
                      <w:rFonts w:hint="eastAsia" w:ascii="仿宋" w:hAnsi="仿宋" w:eastAsia="仿宋" w:cs="仿宋"/>
                      <w:snapToGrid w:val="0"/>
                      <w:color w:val="auto"/>
                      <w:kern w:val="0"/>
                    </w:rPr>
                    <w:t>COD</w:t>
                  </w:r>
                  <w:r>
                    <w:rPr>
                      <w:rFonts w:hint="eastAsia" w:ascii="仿宋" w:hAnsi="仿宋" w:eastAsia="仿宋" w:cs="仿宋"/>
                      <w:snapToGrid w:val="0"/>
                      <w:color w:val="auto"/>
                      <w:kern w:val="0"/>
                      <w:lang w:val="en-US" w:eastAsia="zh-CN"/>
                    </w:rPr>
                    <w:t>、</w:t>
                  </w:r>
                </w:p>
                <w:p w14:paraId="43789993">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default" w:ascii="仿宋" w:hAnsi="仿宋" w:eastAsia="仿宋" w:cs="仿宋"/>
                      <w:snapToGrid w:val="0"/>
                      <w:color w:val="auto"/>
                      <w:kern w:val="0"/>
                      <w:lang w:val="en-US" w:eastAsia="zh-CN"/>
                    </w:rPr>
                  </w:pPr>
                  <w:r>
                    <w:rPr>
                      <w:rFonts w:hint="eastAsia" w:ascii="仿宋" w:hAnsi="仿宋" w:eastAsia="仿宋" w:cs="仿宋"/>
                      <w:snapToGrid w:val="0"/>
                      <w:color w:val="auto"/>
                      <w:kern w:val="0"/>
                      <w:lang w:eastAsia="zh-Hans"/>
                    </w:rPr>
                    <w:t>BOD</w:t>
                  </w:r>
                  <w:r>
                    <w:rPr>
                      <w:rFonts w:hint="eastAsia" w:ascii="仿宋" w:hAnsi="仿宋" w:eastAsia="仿宋" w:cs="仿宋"/>
                      <w:snapToGrid w:val="0"/>
                      <w:color w:val="auto"/>
                      <w:kern w:val="0"/>
                      <w:vertAlign w:val="subscript"/>
                      <w:lang w:eastAsia="zh-Hans"/>
                    </w:rPr>
                    <w:t>5</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rPr>
                    <w:t>SS</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rPr>
                    <w:t>氨氮</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lang w:val="en-US" w:eastAsia="zh-CN"/>
                    </w:rPr>
                    <w:t>总磷</w:t>
                  </w:r>
                </w:p>
              </w:tc>
              <w:tc>
                <w:tcPr>
                  <w:tcW w:w="339" w:type="pct"/>
                  <w:tcBorders>
                    <w:tl2br w:val="nil"/>
                    <w:tr2bl w:val="nil"/>
                  </w:tcBorders>
                  <w:vAlign w:val="center"/>
                </w:tcPr>
                <w:p w14:paraId="2D6A9FE4">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bCs/>
                      <w:color w:val="auto"/>
                      <w:szCs w:val="21"/>
                    </w:rPr>
                  </w:pPr>
                  <w:r>
                    <w:rPr>
                      <w:rFonts w:hint="eastAsia" w:ascii="仿宋" w:hAnsi="仿宋" w:eastAsia="仿宋" w:cs="仿宋"/>
                      <w:color w:val="auto"/>
                      <w:szCs w:val="21"/>
                    </w:rPr>
                    <w:t>进入城镇污水处理</w:t>
                  </w:r>
                  <w:r>
                    <w:rPr>
                      <w:rFonts w:hint="eastAsia" w:ascii="仿宋" w:hAnsi="仿宋" w:eastAsia="仿宋" w:cs="仿宋"/>
                      <w:snapToGrid w:val="0"/>
                      <w:color w:val="auto"/>
                      <w:kern w:val="0"/>
                      <w:szCs w:val="21"/>
                    </w:rPr>
                    <w:t>厂</w:t>
                  </w:r>
                </w:p>
              </w:tc>
              <w:tc>
                <w:tcPr>
                  <w:tcW w:w="608" w:type="pct"/>
                  <w:tcBorders>
                    <w:tl2br w:val="nil"/>
                    <w:tr2bl w:val="nil"/>
                  </w:tcBorders>
                  <w:vAlign w:val="center"/>
                </w:tcPr>
                <w:p w14:paraId="6CBCE469">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pacing w:val="-6"/>
                      <w:sz w:val="21"/>
                      <w:szCs w:val="21"/>
                    </w:rPr>
                  </w:pPr>
                  <w:r>
                    <w:rPr>
                      <w:rFonts w:hint="eastAsia" w:ascii="仿宋" w:hAnsi="仿宋" w:eastAsia="仿宋" w:cs="仿宋"/>
                      <w:color w:val="auto"/>
                      <w:spacing w:val="-6"/>
                      <w:sz w:val="21"/>
                      <w:szCs w:val="21"/>
                    </w:rPr>
                    <w:t>间断排放，排放期间流量不稳定且无规律，但不属于冲击型排放</w:t>
                  </w:r>
                </w:p>
              </w:tc>
              <w:tc>
                <w:tcPr>
                  <w:tcW w:w="442" w:type="pct"/>
                  <w:tcBorders>
                    <w:tl2br w:val="nil"/>
                    <w:tr2bl w:val="nil"/>
                  </w:tcBorders>
                  <w:vAlign w:val="center"/>
                </w:tcPr>
                <w:p w14:paraId="0F6DAA57">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TW001</w:t>
                  </w:r>
                </w:p>
              </w:tc>
              <w:tc>
                <w:tcPr>
                  <w:tcW w:w="402" w:type="pct"/>
                  <w:tcBorders>
                    <w:tl2br w:val="nil"/>
                    <w:tr2bl w:val="nil"/>
                  </w:tcBorders>
                  <w:vAlign w:val="center"/>
                </w:tcPr>
                <w:p w14:paraId="727816F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化粪池</w:t>
                  </w:r>
                </w:p>
              </w:tc>
              <w:tc>
                <w:tcPr>
                  <w:tcW w:w="404" w:type="pct"/>
                  <w:tcBorders>
                    <w:tl2br w:val="nil"/>
                    <w:tr2bl w:val="nil"/>
                  </w:tcBorders>
                  <w:vAlign w:val="center"/>
                </w:tcPr>
                <w:p w14:paraId="3C14674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rPr>
                    <w:t>沉淀</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厌氧发酵</w:t>
                  </w:r>
                </w:p>
              </w:tc>
              <w:tc>
                <w:tcPr>
                  <w:tcW w:w="301" w:type="pct"/>
                  <w:tcBorders>
                    <w:tl2br w:val="nil"/>
                    <w:tr2bl w:val="nil"/>
                  </w:tcBorders>
                  <w:vAlign w:val="center"/>
                </w:tcPr>
                <w:p w14:paraId="6DBCC6DF">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DW001</w:t>
                  </w:r>
                </w:p>
              </w:tc>
              <w:tc>
                <w:tcPr>
                  <w:tcW w:w="477" w:type="pct"/>
                  <w:tcBorders>
                    <w:tl2br w:val="nil"/>
                    <w:tr2bl w:val="nil"/>
                  </w:tcBorders>
                  <w:vAlign w:val="center"/>
                </w:tcPr>
                <w:p w14:paraId="2B43588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是</w:t>
                  </w:r>
                </w:p>
              </w:tc>
              <w:tc>
                <w:tcPr>
                  <w:tcW w:w="958" w:type="pct"/>
                  <w:tcBorders>
                    <w:tl2br w:val="nil"/>
                    <w:tr2bl w:val="nil"/>
                  </w:tcBorders>
                  <w:vAlign w:val="top"/>
                </w:tcPr>
                <w:p w14:paraId="65759DB4">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■企业总排</w:t>
                  </w:r>
                </w:p>
                <w:p w14:paraId="33EB328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口雨水排放</w:t>
                  </w:r>
                </w:p>
                <w:p w14:paraId="2A00424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口清静下水排放</w:t>
                  </w:r>
                </w:p>
                <w:p w14:paraId="0867617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口温排水排放</w:t>
                  </w:r>
                </w:p>
                <w:p w14:paraId="76879BBF">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口车间或车间处理设施排放口</w:t>
                  </w:r>
                </w:p>
              </w:tc>
            </w:tr>
          </w:tbl>
          <w:p w14:paraId="45FBF7B3">
            <w:pPr>
              <w:spacing w:line="240" w:lineRule="auto"/>
              <w:jc w:val="center"/>
              <w:rPr>
                <w:rFonts w:hint="eastAsia" w:ascii="仿宋" w:hAnsi="仿宋" w:eastAsia="仿宋" w:cs="仿宋"/>
                <w:b/>
                <w:color w:val="auto"/>
                <w:sz w:val="24"/>
              </w:rPr>
            </w:pPr>
            <w:r>
              <w:rPr>
                <w:rFonts w:hint="eastAsia" w:ascii="仿宋" w:hAnsi="仿宋" w:eastAsia="仿宋" w:cs="仿宋"/>
                <w:b/>
                <w:color w:val="auto"/>
                <w:sz w:val="21"/>
                <w:szCs w:val="21"/>
              </w:rPr>
              <w:t>表4-</w:t>
            </w:r>
            <w:r>
              <w:rPr>
                <w:rFonts w:hint="eastAsia" w:ascii="仿宋" w:hAnsi="仿宋" w:eastAsia="仿宋" w:cs="仿宋"/>
                <w:b/>
                <w:color w:val="auto"/>
                <w:sz w:val="21"/>
                <w:szCs w:val="21"/>
                <w:lang w:val="en-US" w:eastAsia="zh-CN"/>
              </w:rPr>
              <w:t xml:space="preserve">13 </w:t>
            </w:r>
            <w:r>
              <w:rPr>
                <w:rFonts w:hint="eastAsia" w:ascii="仿宋" w:hAnsi="仿宋" w:eastAsia="仿宋" w:cs="仿宋"/>
                <w:b/>
                <w:color w:val="auto"/>
                <w:sz w:val="21"/>
                <w:szCs w:val="21"/>
              </w:rPr>
              <w:t xml:space="preserve">  废水间接排放口基本情况</w:t>
            </w:r>
            <w:r>
              <w:rPr>
                <w:rFonts w:hint="eastAsia" w:ascii="仿宋" w:hAnsi="仿宋" w:eastAsia="仿宋" w:cs="仿宋"/>
                <w:b/>
                <w:color w:val="auto"/>
                <w:sz w:val="24"/>
              </w:rPr>
              <w:t>表</w:t>
            </w:r>
          </w:p>
          <w:tbl>
            <w:tblPr>
              <w:tblStyle w:val="32"/>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393"/>
              <w:gridCol w:w="771"/>
              <w:gridCol w:w="997"/>
              <w:gridCol w:w="969"/>
              <w:gridCol w:w="660"/>
              <w:gridCol w:w="596"/>
              <w:gridCol w:w="1104"/>
              <w:gridCol w:w="521"/>
              <w:gridCol w:w="563"/>
              <w:gridCol w:w="629"/>
              <w:gridCol w:w="1187"/>
            </w:tblGrid>
            <w:tr w14:paraId="5954C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93" w:type="dxa"/>
                  <w:vMerge w:val="restart"/>
                  <w:tcBorders>
                    <w:tl2br w:val="nil"/>
                    <w:tr2bl w:val="nil"/>
                  </w:tcBorders>
                  <w:vAlign w:val="center"/>
                </w:tcPr>
                <w:p w14:paraId="63830EB0">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序号</w:t>
                  </w:r>
                </w:p>
              </w:tc>
              <w:tc>
                <w:tcPr>
                  <w:tcW w:w="771" w:type="dxa"/>
                  <w:vMerge w:val="restart"/>
                  <w:tcBorders>
                    <w:tl2br w:val="nil"/>
                    <w:tr2bl w:val="nil"/>
                  </w:tcBorders>
                  <w:vAlign w:val="center"/>
                </w:tcPr>
                <w:p w14:paraId="7E851864">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排放口</w:t>
                  </w:r>
                </w:p>
                <w:p w14:paraId="42C40AC3">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编号</w:t>
                  </w:r>
                </w:p>
              </w:tc>
              <w:tc>
                <w:tcPr>
                  <w:tcW w:w="1966" w:type="dxa"/>
                  <w:gridSpan w:val="2"/>
                  <w:tcBorders>
                    <w:tl2br w:val="nil"/>
                    <w:tr2bl w:val="nil"/>
                  </w:tcBorders>
                  <w:vAlign w:val="center"/>
                </w:tcPr>
                <w:p w14:paraId="1FD7EF14">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排放口地理坐标</w:t>
                  </w:r>
                </w:p>
              </w:tc>
              <w:tc>
                <w:tcPr>
                  <w:tcW w:w="660" w:type="dxa"/>
                  <w:vMerge w:val="restart"/>
                  <w:tcBorders>
                    <w:tl2br w:val="nil"/>
                    <w:tr2bl w:val="nil"/>
                  </w:tcBorders>
                  <w:vAlign w:val="center"/>
                </w:tcPr>
                <w:p w14:paraId="3BC8FEA4">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废水排放量</w:t>
                  </w:r>
                  <w:r>
                    <w:rPr>
                      <w:rFonts w:hint="eastAsia" w:ascii="仿宋" w:hAnsi="仿宋" w:eastAsia="仿宋" w:cs="仿宋"/>
                      <w:color w:val="auto"/>
                      <w:spacing w:val="-20"/>
                      <w:szCs w:val="21"/>
                    </w:rPr>
                    <w:t>（万t/a）</w:t>
                  </w:r>
                </w:p>
              </w:tc>
              <w:tc>
                <w:tcPr>
                  <w:tcW w:w="596" w:type="dxa"/>
                  <w:vMerge w:val="restart"/>
                  <w:tcBorders>
                    <w:tl2br w:val="nil"/>
                    <w:tr2bl w:val="nil"/>
                  </w:tcBorders>
                  <w:vAlign w:val="center"/>
                </w:tcPr>
                <w:p w14:paraId="0FC9CB2E">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排放去向</w:t>
                  </w:r>
                </w:p>
              </w:tc>
              <w:tc>
                <w:tcPr>
                  <w:tcW w:w="1104" w:type="dxa"/>
                  <w:vMerge w:val="restart"/>
                  <w:tcBorders>
                    <w:tl2br w:val="nil"/>
                    <w:tr2bl w:val="nil"/>
                  </w:tcBorders>
                  <w:vAlign w:val="center"/>
                </w:tcPr>
                <w:p w14:paraId="4AA6229F">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排放规律</w:t>
                  </w:r>
                </w:p>
              </w:tc>
              <w:tc>
                <w:tcPr>
                  <w:tcW w:w="521" w:type="dxa"/>
                  <w:vMerge w:val="restart"/>
                  <w:tcBorders>
                    <w:tl2br w:val="nil"/>
                    <w:tr2bl w:val="nil"/>
                  </w:tcBorders>
                  <w:vAlign w:val="center"/>
                </w:tcPr>
                <w:p w14:paraId="4D3582C0">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间歇排放时段</w:t>
                  </w:r>
                </w:p>
              </w:tc>
              <w:tc>
                <w:tcPr>
                  <w:tcW w:w="2379" w:type="dxa"/>
                  <w:gridSpan w:val="3"/>
                  <w:tcBorders>
                    <w:tl2br w:val="nil"/>
                    <w:tr2bl w:val="nil"/>
                  </w:tcBorders>
                  <w:vAlign w:val="center"/>
                </w:tcPr>
                <w:p w14:paraId="175089E2">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收纳污水处理厂信息</w:t>
                  </w:r>
                </w:p>
              </w:tc>
            </w:tr>
            <w:tr w14:paraId="51296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93" w:type="dxa"/>
                  <w:vMerge w:val="continue"/>
                  <w:tcBorders>
                    <w:tl2br w:val="nil"/>
                    <w:tr2bl w:val="nil"/>
                  </w:tcBorders>
                  <w:vAlign w:val="center"/>
                </w:tcPr>
                <w:p w14:paraId="6369F90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771" w:type="dxa"/>
                  <w:vMerge w:val="continue"/>
                  <w:tcBorders>
                    <w:tl2br w:val="nil"/>
                    <w:tr2bl w:val="nil"/>
                  </w:tcBorders>
                  <w:vAlign w:val="center"/>
                </w:tcPr>
                <w:p w14:paraId="363E983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997" w:type="dxa"/>
                  <w:tcBorders>
                    <w:tl2br w:val="nil"/>
                    <w:tr2bl w:val="nil"/>
                  </w:tcBorders>
                  <w:vAlign w:val="center"/>
                </w:tcPr>
                <w:p w14:paraId="3BA1A56C">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经度</w:t>
                  </w:r>
                </w:p>
              </w:tc>
              <w:tc>
                <w:tcPr>
                  <w:tcW w:w="969" w:type="dxa"/>
                  <w:tcBorders>
                    <w:tl2br w:val="nil"/>
                    <w:tr2bl w:val="nil"/>
                  </w:tcBorders>
                  <w:vAlign w:val="center"/>
                </w:tcPr>
                <w:p w14:paraId="4FC33F7D">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pacing w:val="-20"/>
                      <w:szCs w:val="21"/>
                    </w:rPr>
                  </w:pPr>
                  <w:r>
                    <w:rPr>
                      <w:rFonts w:hint="eastAsia" w:ascii="仿宋" w:hAnsi="仿宋" w:eastAsia="仿宋" w:cs="仿宋"/>
                      <w:color w:val="auto"/>
                      <w:szCs w:val="21"/>
                    </w:rPr>
                    <w:t>纬度</w:t>
                  </w:r>
                </w:p>
              </w:tc>
              <w:tc>
                <w:tcPr>
                  <w:tcW w:w="660" w:type="dxa"/>
                  <w:vMerge w:val="continue"/>
                  <w:tcBorders>
                    <w:tl2br w:val="nil"/>
                    <w:tr2bl w:val="nil"/>
                  </w:tcBorders>
                  <w:vAlign w:val="center"/>
                </w:tcPr>
                <w:p w14:paraId="2EFA1AE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596" w:type="dxa"/>
                  <w:vMerge w:val="continue"/>
                  <w:tcBorders>
                    <w:tl2br w:val="nil"/>
                    <w:tr2bl w:val="nil"/>
                  </w:tcBorders>
                  <w:vAlign w:val="center"/>
                </w:tcPr>
                <w:p w14:paraId="774CE1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1104" w:type="dxa"/>
                  <w:vMerge w:val="continue"/>
                  <w:tcBorders>
                    <w:tl2br w:val="nil"/>
                    <w:tr2bl w:val="nil"/>
                  </w:tcBorders>
                  <w:vAlign w:val="center"/>
                </w:tcPr>
                <w:p w14:paraId="3228CAF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521" w:type="dxa"/>
                  <w:vMerge w:val="continue"/>
                  <w:tcBorders>
                    <w:tl2br w:val="nil"/>
                    <w:tr2bl w:val="nil"/>
                  </w:tcBorders>
                  <w:vAlign w:val="center"/>
                </w:tcPr>
                <w:p w14:paraId="5AE51B2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仿宋" w:hAnsi="仿宋" w:eastAsia="仿宋" w:cs="仿宋"/>
                      <w:color w:val="auto"/>
                      <w:szCs w:val="21"/>
                    </w:rPr>
                  </w:pPr>
                </w:p>
              </w:tc>
              <w:tc>
                <w:tcPr>
                  <w:tcW w:w="563" w:type="dxa"/>
                  <w:tcBorders>
                    <w:tl2br w:val="nil"/>
                    <w:tr2bl w:val="nil"/>
                  </w:tcBorders>
                  <w:vAlign w:val="center"/>
                </w:tcPr>
                <w:p w14:paraId="0701D4F0">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名称</w:t>
                  </w:r>
                </w:p>
              </w:tc>
              <w:tc>
                <w:tcPr>
                  <w:tcW w:w="629" w:type="dxa"/>
                  <w:tcBorders>
                    <w:tl2br w:val="nil"/>
                    <w:tr2bl w:val="nil"/>
                  </w:tcBorders>
                  <w:vAlign w:val="center"/>
                </w:tcPr>
                <w:p w14:paraId="307A4F76">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污染物种类</w:t>
                  </w:r>
                </w:p>
              </w:tc>
              <w:tc>
                <w:tcPr>
                  <w:tcW w:w="1187" w:type="dxa"/>
                  <w:tcBorders>
                    <w:tl2br w:val="nil"/>
                    <w:tr2bl w:val="nil"/>
                  </w:tcBorders>
                  <w:vAlign w:val="center"/>
                </w:tcPr>
                <w:p w14:paraId="4E703626">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国家或地方污染物排放标准限值（mg/L）</w:t>
                  </w:r>
                </w:p>
              </w:tc>
            </w:tr>
            <w:tr w14:paraId="258A2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393" w:type="dxa"/>
                  <w:vMerge w:val="restart"/>
                  <w:tcBorders>
                    <w:tl2br w:val="nil"/>
                    <w:tr2bl w:val="nil"/>
                  </w:tcBorders>
                  <w:vAlign w:val="center"/>
                </w:tcPr>
                <w:p w14:paraId="7F79D75A">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1</w:t>
                  </w:r>
                </w:p>
              </w:tc>
              <w:tc>
                <w:tcPr>
                  <w:tcW w:w="771" w:type="dxa"/>
                  <w:vMerge w:val="restart"/>
                  <w:tcBorders>
                    <w:tl2br w:val="nil"/>
                    <w:tr2bl w:val="nil"/>
                  </w:tcBorders>
                  <w:vAlign w:val="center"/>
                </w:tcPr>
                <w:p w14:paraId="6D0E13A8">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DW001</w:t>
                  </w:r>
                </w:p>
              </w:tc>
              <w:tc>
                <w:tcPr>
                  <w:tcW w:w="997" w:type="dxa"/>
                  <w:vMerge w:val="restart"/>
                  <w:tcBorders>
                    <w:tl2br w:val="nil"/>
                    <w:tr2bl w:val="nil"/>
                  </w:tcBorders>
                  <w:vAlign w:val="center"/>
                </w:tcPr>
                <w:p w14:paraId="15ABA0A7">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117.133226</w:t>
                  </w:r>
                </w:p>
              </w:tc>
              <w:tc>
                <w:tcPr>
                  <w:tcW w:w="969" w:type="dxa"/>
                  <w:vMerge w:val="restart"/>
                  <w:tcBorders>
                    <w:tl2br w:val="nil"/>
                    <w:tr2bl w:val="nil"/>
                  </w:tcBorders>
                  <w:vAlign w:val="center"/>
                </w:tcPr>
                <w:p w14:paraId="202C7A4D">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32.724081</w:t>
                  </w:r>
                </w:p>
              </w:tc>
              <w:tc>
                <w:tcPr>
                  <w:tcW w:w="660" w:type="dxa"/>
                  <w:vMerge w:val="restart"/>
                  <w:tcBorders>
                    <w:tl2br w:val="nil"/>
                    <w:tr2bl w:val="nil"/>
                  </w:tcBorders>
                  <w:vAlign w:val="center"/>
                </w:tcPr>
                <w:p w14:paraId="3764102F">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仿宋" w:hAnsi="仿宋" w:eastAsia="仿宋" w:cs="仿宋"/>
                      <w:color w:val="auto"/>
                      <w:spacing w:val="-20"/>
                      <w:szCs w:val="21"/>
                      <w:lang w:val="en-US" w:eastAsia="zh-CN"/>
                    </w:rPr>
                  </w:pPr>
                  <w:r>
                    <w:rPr>
                      <w:rFonts w:hint="eastAsia" w:ascii="仿宋" w:hAnsi="仿宋" w:eastAsia="仿宋" w:cs="仿宋"/>
                      <w:color w:val="auto"/>
                      <w:spacing w:val="-20"/>
                      <w:szCs w:val="21"/>
                      <w:lang w:val="en-US" w:eastAsia="zh-CN"/>
                    </w:rPr>
                    <w:t>0.0792</w:t>
                  </w:r>
                </w:p>
              </w:tc>
              <w:tc>
                <w:tcPr>
                  <w:tcW w:w="596" w:type="dxa"/>
                  <w:vMerge w:val="restart"/>
                  <w:tcBorders>
                    <w:tl2br w:val="nil"/>
                    <w:tr2bl w:val="nil"/>
                  </w:tcBorders>
                  <w:vAlign w:val="center"/>
                </w:tcPr>
                <w:p w14:paraId="658BEB69">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进入城镇污水处理厂</w:t>
                  </w:r>
                </w:p>
              </w:tc>
              <w:tc>
                <w:tcPr>
                  <w:tcW w:w="1104" w:type="dxa"/>
                  <w:vMerge w:val="restart"/>
                  <w:tcBorders>
                    <w:tl2br w:val="nil"/>
                    <w:tr2bl w:val="nil"/>
                  </w:tcBorders>
                  <w:vAlign w:val="center"/>
                </w:tcPr>
                <w:p w14:paraId="1FE08168">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间断排放，排放期间流量不稳定且无规律，但不属于冲击型排放</w:t>
                  </w:r>
                </w:p>
              </w:tc>
              <w:tc>
                <w:tcPr>
                  <w:tcW w:w="521" w:type="dxa"/>
                  <w:vMerge w:val="restart"/>
                  <w:tcBorders>
                    <w:tl2br w:val="nil"/>
                    <w:tr2bl w:val="nil"/>
                  </w:tcBorders>
                  <w:vAlign w:val="center"/>
                </w:tcPr>
                <w:p w14:paraId="7DF67044">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r>
                    <w:rPr>
                      <w:rFonts w:hint="eastAsia" w:ascii="仿宋" w:hAnsi="仿宋" w:eastAsia="仿宋" w:cs="仿宋"/>
                      <w:color w:val="auto"/>
                      <w:szCs w:val="21"/>
                    </w:rPr>
                    <w:t>流量产生期间</w:t>
                  </w:r>
                </w:p>
              </w:tc>
              <w:tc>
                <w:tcPr>
                  <w:tcW w:w="563" w:type="dxa"/>
                  <w:vMerge w:val="restart"/>
                  <w:tcBorders>
                    <w:tl2br w:val="nil"/>
                    <w:tr2bl w:val="nil"/>
                  </w:tcBorders>
                  <w:vAlign w:val="center"/>
                </w:tcPr>
                <w:p w14:paraId="79A9CD67">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lang w:eastAsia="zh-CN"/>
                    </w:rPr>
                  </w:pPr>
                  <w:r>
                    <w:rPr>
                      <w:rFonts w:hint="eastAsia" w:ascii="仿宋" w:hAnsi="仿宋" w:eastAsia="仿宋" w:cs="仿宋"/>
                      <w:snapToGrid w:val="0"/>
                      <w:color w:val="auto"/>
                      <w:kern w:val="0"/>
                      <w:szCs w:val="21"/>
                      <w:lang w:eastAsia="zh-CN"/>
                    </w:rPr>
                    <w:t>上窑工业聚集区污水处理厂</w:t>
                  </w:r>
                </w:p>
              </w:tc>
              <w:tc>
                <w:tcPr>
                  <w:tcW w:w="629" w:type="dxa"/>
                  <w:tcBorders>
                    <w:tl2br w:val="nil"/>
                    <w:tr2bl w:val="nil"/>
                  </w:tcBorders>
                  <w:vAlign w:val="center"/>
                </w:tcPr>
                <w:p w14:paraId="1C915AA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napToGrid w:val="0"/>
                      <w:color w:val="auto"/>
                      <w:kern w:val="0"/>
                    </w:rPr>
                  </w:pPr>
                  <w:r>
                    <w:rPr>
                      <w:rFonts w:hint="eastAsia" w:ascii="仿宋" w:hAnsi="仿宋" w:eastAsia="仿宋" w:cs="仿宋"/>
                      <w:snapToGrid w:val="0"/>
                      <w:color w:val="auto"/>
                      <w:kern w:val="0"/>
                    </w:rPr>
                    <w:t>COD</w:t>
                  </w:r>
                </w:p>
              </w:tc>
              <w:tc>
                <w:tcPr>
                  <w:tcW w:w="1187" w:type="dxa"/>
                  <w:tcBorders>
                    <w:tl2br w:val="nil"/>
                    <w:tr2bl w:val="nil"/>
                  </w:tcBorders>
                  <w:vAlign w:val="center"/>
                </w:tcPr>
                <w:p w14:paraId="03B7961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50</w:t>
                  </w:r>
                </w:p>
              </w:tc>
            </w:tr>
            <w:tr w14:paraId="1200C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393" w:type="dxa"/>
                  <w:vMerge w:val="continue"/>
                  <w:tcBorders>
                    <w:tl2br w:val="nil"/>
                    <w:tr2bl w:val="nil"/>
                  </w:tcBorders>
                  <w:vAlign w:val="center"/>
                </w:tcPr>
                <w:p w14:paraId="48F874A0">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771" w:type="dxa"/>
                  <w:vMerge w:val="continue"/>
                  <w:tcBorders>
                    <w:tl2br w:val="nil"/>
                    <w:tr2bl w:val="nil"/>
                  </w:tcBorders>
                  <w:vAlign w:val="center"/>
                </w:tcPr>
                <w:p w14:paraId="5799B659">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997" w:type="dxa"/>
                  <w:vMerge w:val="continue"/>
                  <w:tcBorders>
                    <w:tl2br w:val="nil"/>
                    <w:tr2bl w:val="nil"/>
                  </w:tcBorders>
                  <w:vAlign w:val="center"/>
                </w:tcPr>
                <w:p w14:paraId="57CFFDEA">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969" w:type="dxa"/>
                  <w:vMerge w:val="continue"/>
                  <w:tcBorders>
                    <w:tl2br w:val="nil"/>
                    <w:tr2bl w:val="nil"/>
                  </w:tcBorders>
                  <w:vAlign w:val="center"/>
                </w:tcPr>
                <w:p w14:paraId="1E28E2BA">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660" w:type="dxa"/>
                  <w:vMerge w:val="continue"/>
                  <w:tcBorders>
                    <w:tl2br w:val="nil"/>
                    <w:tr2bl w:val="nil"/>
                  </w:tcBorders>
                  <w:vAlign w:val="center"/>
                </w:tcPr>
                <w:p w14:paraId="76A8A6E1">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pacing w:val="-20"/>
                      <w:szCs w:val="21"/>
                      <w:lang w:val="en-US" w:eastAsia="zh-CN"/>
                    </w:rPr>
                  </w:pPr>
                </w:p>
              </w:tc>
              <w:tc>
                <w:tcPr>
                  <w:tcW w:w="596" w:type="dxa"/>
                  <w:vMerge w:val="continue"/>
                  <w:tcBorders>
                    <w:tl2br w:val="nil"/>
                    <w:tr2bl w:val="nil"/>
                  </w:tcBorders>
                  <w:vAlign w:val="center"/>
                </w:tcPr>
                <w:p w14:paraId="0F2A679B">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1104" w:type="dxa"/>
                  <w:vMerge w:val="continue"/>
                  <w:tcBorders>
                    <w:tl2br w:val="nil"/>
                    <w:tr2bl w:val="nil"/>
                  </w:tcBorders>
                  <w:vAlign w:val="center"/>
                </w:tcPr>
                <w:p w14:paraId="68E19F53">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521" w:type="dxa"/>
                  <w:vMerge w:val="continue"/>
                  <w:tcBorders>
                    <w:tl2br w:val="nil"/>
                    <w:tr2bl w:val="nil"/>
                  </w:tcBorders>
                  <w:vAlign w:val="center"/>
                </w:tcPr>
                <w:p w14:paraId="5C90A767">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563" w:type="dxa"/>
                  <w:vMerge w:val="continue"/>
                  <w:tcBorders>
                    <w:tl2br w:val="nil"/>
                    <w:tr2bl w:val="nil"/>
                  </w:tcBorders>
                  <w:vAlign w:val="center"/>
                </w:tcPr>
                <w:p w14:paraId="5B56EA4E">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snapToGrid w:val="0"/>
                      <w:color w:val="auto"/>
                      <w:kern w:val="0"/>
                      <w:szCs w:val="21"/>
                      <w:lang w:eastAsia="zh-CN"/>
                    </w:rPr>
                  </w:pPr>
                </w:p>
              </w:tc>
              <w:tc>
                <w:tcPr>
                  <w:tcW w:w="629" w:type="dxa"/>
                  <w:tcBorders>
                    <w:tl2br w:val="nil"/>
                    <w:tr2bl w:val="nil"/>
                  </w:tcBorders>
                  <w:vAlign w:val="center"/>
                </w:tcPr>
                <w:p w14:paraId="5C0AC74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napToGrid w:val="0"/>
                      <w:color w:val="auto"/>
                      <w:kern w:val="0"/>
                    </w:rPr>
                  </w:pPr>
                  <w:r>
                    <w:rPr>
                      <w:rFonts w:hint="eastAsia" w:ascii="仿宋" w:hAnsi="仿宋" w:eastAsia="仿宋" w:cs="仿宋"/>
                      <w:snapToGrid w:val="0"/>
                      <w:color w:val="auto"/>
                      <w:kern w:val="0"/>
                      <w:lang w:eastAsia="zh-Hans"/>
                    </w:rPr>
                    <w:t>BOD</w:t>
                  </w:r>
                  <w:r>
                    <w:rPr>
                      <w:rFonts w:hint="eastAsia" w:ascii="仿宋" w:hAnsi="仿宋" w:eastAsia="仿宋" w:cs="仿宋"/>
                      <w:snapToGrid w:val="0"/>
                      <w:color w:val="auto"/>
                      <w:kern w:val="0"/>
                      <w:vertAlign w:val="subscript"/>
                      <w:lang w:eastAsia="zh-Hans"/>
                    </w:rPr>
                    <w:t>5</w:t>
                  </w:r>
                </w:p>
              </w:tc>
              <w:tc>
                <w:tcPr>
                  <w:tcW w:w="1187" w:type="dxa"/>
                  <w:tcBorders>
                    <w:tl2br w:val="nil"/>
                    <w:tr2bl w:val="nil"/>
                  </w:tcBorders>
                  <w:vAlign w:val="center"/>
                </w:tcPr>
                <w:p w14:paraId="631E70F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lang w:val="en-US" w:eastAsia="zh-CN"/>
                    </w:rPr>
                    <w:t>10</w:t>
                  </w:r>
                </w:p>
              </w:tc>
            </w:tr>
            <w:tr w14:paraId="4F48B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393" w:type="dxa"/>
                  <w:vMerge w:val="continue"/>
                  <w:tcBorders>
                    <w:tl2br w:val="nil"/>
                    <w:tr2bl w:val="nil"/>
                  </w:tcBorders>
                  <w:vAlign w:val="center"/>
                </w:tcPr>
                <w:p w14:paraId="7A624866">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771" w:type="dxa"/>
                  <w:vMerge w:val="continue"/>
                  <w:tcBorders>
                    <w:tl2br w:val="nil"/>
                    <w:tr2bl w:val="nil"/>
                  </w:tcBorders>
                  <w:vAlign w:val="center"/>
                </w:tcPr>
                <w:p w14:paraId="61A589DB">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997" w:type="dxa"/>
                  <w:vMerge w:val="continue"/>
                  <w:tcBorders>
                    <w:tl2br w:val="nil"/>
                    <w:tr2bl w:val="nil"/>
                  </w:tcBorders>
                  <w:vAlign w:val="center"/>
                </w:tcPr>
                <w:p w14:paraId="70AEDA62">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969" w:type="dxa"/>
                  <w:vMerge w:val="continue"/>
                  <w:tcBorders>
                    <w:tl2br w:val="nil"/>
                    <w:tr2bl w:val="nil"/>
                  </w:tcBorders>
                  <w:vAlign w:val="center"/>
                </w:tcPr>
                <w:p w14:paraId="57A90D8F">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660" w:type="dxa"/>
                  <w:vMerge w:val="continue"/>
                  <w:tcBorders>
                    <w:tl2br w:val="nil"/>
                    <w:tr2bl w:val="nil"/>
                  </w:tcBorders>
                  <w:vAlign w:val="center"/>
                </w:tcPr>
                <w:p w14:paraId="3ABC5991">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pacing w:val="-20"/>
                      <w:szCs w:val="21"/>
                      <w:lang w:val="en-US" w:eastAsia="zh-CN"/>
                    </w:rPr>
                  </w:pPr>
                </w:p>
              </w:tc>
              <w:tc>
                <w:tcPr>
                  <w:tcW w:w="596" w:type="dxa"/>
                  <w:vMerge w:val="continue"/>
                  <w:tcBorders>
                    <w:tl2br w:val="nil"/>
                    <w:tr2bl w:val="nil"/>
                  </w:tcBorders>
                  <w:vAlign w:val="center"/>
                </w:tcPr>
                <w:p w14:paraId="2173DEDB">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1104" w:type="dxa"/>
                  <w:vMerge w:val="continue"/>
                  <w:tcBorders>
                    <w:tl2br w:val="nil"/>
                    <w:tr2bl w:val="nil"/>
                  </w:tcBorders>
                  <w:vAlign w:val="center"/>
                </w:tcPr>
                <w:p w14:paraId="72A84C57">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521" w:type="dxa"/>
                  <w:vMerge w:val="continue"/>
                  <w:tcBorders>
                    <w:tl2br w:val="nil"/>
                    <w:tr2bl w:val="nil"/>
                  </w:tcBorders>
                  <w:vAlign w:val="center"/>
                </w:tcPr>
                <w:p w14:paraId="4659E9EF">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szCs w:val="21"/>
                    </w:rPr>
                  </w:pPr>
                </w:p>
              </w:tc>
              <w:tc>
                <w:tcPr>
                  <w:tcW w:w="563" w:type="dxa"/>
                  <w:vMerge w:val="continue"/>
                  <w:tcBorders>
                    <w:tl2br w:val="nil"/>
                    <w:tr2bl w:val="nil"/>
                  </w:tcBorders>
                  <w:vAlign w:val="center"/>
                </w:tcPr>
                <w:p w14:paraId="7E758791">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snapToGrid w:val="0"/>
                      <w:color w:val="auto"/>
                      <w:kern w:val="0"/>
                      <w:szCs w:val="21"/>
                      <w:lang w:eastAsia="zh-CN"/>
                    </w:rPr>
                  </w:pPr>
                </w:p>
              </w:tc>
              <w:tc>
                <w:tcPr>
                  <w:tcW w:w="629" w:type="dxa"/>
                  <w:tcBorders>
                    <w:tl2br w:val="nil"/>
                    <w:tr2bl w:val="nil"/>
                  </w:tcBorders>
                  <w:vAlign w:val="center"/>
                </w:tcPr>
                <w:p w14:paraId="6145F97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napToGrid w:val="0"/>
                      <w:color w:val="auto"/>
                      <w:kern w:val="0"/>
                    </w:rPr>
                  </w:pPr>
                  <w:r>
                    <w:rPr>
                      <w:rFonts w:hint="eastAsia" w:ascii="仿宋" w:hAnsi="仿宋" w:eastAsia="仿宋" w:cs="仿宋"/>
                      <w:snapToGrid w:val="0"/>
                      <w:color w:val="auto"/>
                      <w:kern w:val="0"/>
                    </w:rPr>
                    <w:t>SS</w:t>
                  </w:r>
                </w:p>
              </w:tc>
              <w:tc>
                <w:tcPr>
                  <w:tcW w:w="1187" w:type="dxa"/>
                  <w:tcBorders>
                    <w:tl2br w:val="nil"/>
                    <w:tr2bl w:val="nil"/>
                  </w:tcBorders>
                  <w:vAlign w:val="center"/>
                </w:tcPr>
                <w:p w14:paraId="53ACD6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Cs w:val="21"/>
                    </w:rPr>
                  </w:pPr>
                  <w:r>
                    <w:rPr>
                      <w:rFonts w:hint="eastAsia" w:ascii="仿宋" w:hAnsi="仿宋" w:eastAsia="仿宋" w:cs="仿宋"/>
                      <w:color w:val="auto"/>
                      <w:szCs w:val="21"/>
                    </w:rPr>
                    <w:t>10</w:t>
                  </w:r>
                </w:p>
              </w:tc>
            </w:tr>
            <w:tr w14:paraId="2A882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393" w:type="dxa"/>
                  <w:vMerge w:val="continue"/>
                  <w:tcBorders>
                    <w:tl2br w:val="nil"/>
                    <w:tr2bl w:val="nil"/>
                  </w:tcBorders>
                  <w:vAlign w:val="center"/>
                </w:tcPr>
                <w:p w14:paraId="52DAA4D3">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771" w:type="dxa"/>
                  <w:vMerge w:val="continue"/>
                  <w:tcBorders>
                    <w:tl2br w:val="nil"/>
                    <w:tr2bl w:val="nil"/>
                  </w:tcBorders>
                  <w:vAlign w:val="center"/>
                </w:tcPr>
                <w:p w14:paraId="3DBB3876">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997" w:type="dxa"/>
                  <w:vMerge w:val="continue"/>
                  <w:tcBorders>
                    <w:tl2br w:val="nil"/>
                    <w:tr2bl w:val="nil"/>
                  </w:tcBorders>
                  <w:vAlign w:val="center"/>
                </w:tcPr>
                <w:p w14:paraId="081388EF">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969" w:type="dxa"/>
                  <w:vMerge w:val="continue"/>
                  <w:tcBorders>
                    <w:tl2br w:val="nil"/>
                    <w:tr2bl w:val="nil"/>
                  </w:tcBorders>
                  <w:vAlign w:val="center"/>
                </w:tcPr>
                <w:p w14:paraId="26CB3EB5">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660" w:type="dxa"/>
                  <w:vMerge w:val="continue"/>
                  <w:tcBorders>
                    <w:tl2br w:val="nil"/>
                    <w:tr2bl w:val="nil"/>
                  </w:tcBorders>
                  <w:vAlign w:val="center"/>
                </w:tcPr>
                <w:p w14:paraId="218D55E2">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596" w:type="dxa"/>
                  <w:vMerge w:val="continue"/>
                  <w:tcBorders>
                    <w:tl2br w:val="nil"/>
                    <w:tr2bl w:val="nil"/>
                  </w:tcBorders>
                  <w:vAlign w:val="center"/>
                </w:tcPr>
                <w:p w14:paraId="0EFEE975">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1104" w:type="dxa"/>
                  <w:vMerge w:val="continue"/>
                  <w:tcBorders>
                    <w:tl2br w:val="nil"/>
                    <w:tr2bl w:val="nil"/>
                  </w:tcBorders>
                  <w:vAlign w:val="center"/>
                </w:tcPr>
                <w:p w14:paraId="2F6A0BC1">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521" w:type="dxa"/>
                  <w:vMerge w:val="continue"/>
                  <w:tcBorders>
                    <w:tl2br w:val="nil"/>
                    <w:tr2bl w:val="nil"/>
                  </w:tcBorders>
                  <w:vAlign w:val="center"/>
                </w:tcPr>
                <w:p w14:paraId="1B3D97BC">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563" w:type="dxa"/>
                  <w:vMerge w:val="continue"/>
                  <w:tcBorders>
                    <w:tl2br w:val="nil"/>
                    <w:tr2bl w:val="nil"/>
                  </w:tcBorders>
                  <w:vAlign w:val="center"/>
                </w:tcPr>
                <w:p w14:paraId="18B01B79">
                  <w:pPr>
                    <w:keepNext w:val="0"/>
                    <w:keepLines w:val="0"/>
                    <w:pageBreakBefore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仿宋" w:hAnsi="仿宋" w:eastAsia="仿宋" w:cs="仿宋"/>
                      <w:color w:val="auto"/>
                    </w:rPr>
                  </w:pPr>
                </w:p>
              </w:tc>
              <w:tc>
                <w:tcPr>
                  <w:tcW w:w="629" w:type="dxa"/>
                  <w:tcBorders>
                    <w:tl2br w:val="nil"/>
                    <w:tr2bl w:val="nil"/>
                  </w:tcBorders>
                  <w:vAlign w:val="center"/>
                </w:tcPr>
                <w:p w14:paraId="2AA3B17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napToGrid w:val="0"/>
                      <w:color w:val="auto"/>
                      <w:kern w:val="0"/>
                      <w:lang w:val="en-US" w:eastAsia="zh-CN"/>
                    </w:rPr>
                  </w:pPr>
                  <w:r>
                    <w:rPr>
                      <w:rFonts w:hint="eastAsia" w:ascii="仿宋" w:hAnsi="仿宋" w:eastAsia="仿宋" w:cs="仿宋"/>
                      <w:snapToGrid w:val="0"/>
                      <w:color w:val="auto"/>
                      <w:kern w:val="0"/>
                    </w:rPr>
                    <w:t>氨氮</w:t>
                  </w:r>
                </w:p>
              </w:tc>
              <w:tc>
                <w:tcPr>
                  <w:tcW w:w="1187" w:type="dxa"/>
                  <w:tcBorders>
                    <w:tl2br w:val="nil"/>
                    <w:tr2bl w:val="nil"/>
                  </w:tcBorders>
                  <w:vAlign w:val="center"/>
                </w:tcPr>
                <w:p w14:paraId="2BDCCCF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napToGrid w:val="0"/>
                      <w:color w:val="auto"/>
                      <w:kern w:val="0"/>
                      <w:lang w:val="en-US" w:eastAsia="zh-CN"/>
                    </w:rPr>
                  </w:pPr>
                  <w:r>
                    <w:rPr>
                      <w:rFonts w:hint="eastAsia" w:ascii="仿宋" w:hAnsi="仿宋" w:eastAsia="仿宋" w:cs="仿宋"/>
                      <w:color w:val="auto"/>
                      <w:szCs w:val="21"/>
                    </w:rPr>
                    <w:t>5（8）</w:t>
                  </w:r>
                </w:p>
              </w:tc>
            </w:tr>
          </w:tbl>
          <w:p w14:paraId="4579AB6B">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2、防治措施可行性及达标性</w:t>
            </w:r>
          </w:p>
          <w:p w14:paraId="3FE9C885">
            <w:pPr>
              <w:keepNext w:val="0"/>
              <w:keepLines w:val="0"/>
              <w:pageBreakBefore w:val="0"/>
              <w:widowControl w:val="0"/>
              <w:kinsoku/>
              <w:wordWrap/>
              <w:overflowPunct/>
              <w:topLinePunct w:val="0"/>
              <w:autoSpaceDE w:val="0"/>
              <w:autoSpaceDN w:val="0"/>
              <w:bidi w:val="0"/>
              <w:adjustRightInd w:val="0"/>
              <w:snapToGrid/>
              <w:spacing w:line="440" w:lineRule="exact"/>
              <w:ind w:right="0"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（1）废水回用可行性分析</w:t>
            </w:r>
          </w:p>
          <w:p w14:paraId="1BF2366D">
            <w:pPr>
              <w:pStyle w:val="10"/>
              <w:keepNext w:val="0"/>
              <w:keepLines w:val="0"/>
              <w:pageBreakBefore w:val="0"/>
              <w:kinsoku/>
              <w:wordWrap/>
              <w:overflowPunct/>
              <w:topLinePunct w:val="0"/>
              <w:bidi w:val="0"/>
              <w:spacing w:before="0" w:after="0" w:line="360" w:lineRule="auto"/>
              <w:ind w:right="0" w:firstLine="480" w:firstLineChars="200"/>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本项目洗车废水和喷淋废水主要污染物为SS、氨氮、总磷以及COD，全部回用于混合配料，根据物料平衡，经废水回用后，发酵物料含水率约50%，满足本项目初始发酵物料含水率小于65%的要求，且发酵工序对水质没有要求，因此本项目废水全部回用于生产在技术上是完全可行的。</w:t>
            </w:r>
          </w:p>
          <w:p w14:paraId="49585B46">
            <w:pPr>
              <w:pStyle w:val="10"/>
              <w:keepNext w:val="0"/>
              <w:keepLines w:val="0"/>
              <w:pageBreakBefore w:val="0"/>
              <w:kinsoku/>
              <w:wordWrap/>
              <w:overflowPunct/>
              <w:topLinePunct w:val="0"/>
              <w:bidi w:val="0"/>
              <w:spacing w:before="0" w:after="0" w:line="360" w:lineRule="auto"/>
              <w:ind w:right="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sz w:val="24"/>
                <w:lang w:val="en-US" w:eastAsia="zh-CN"/>
              </w:rPr>
              <w:t>（2）外排废水接管可行性分析</w:t>
            </w:r>
          </w:p>
          <w:p w14:paraId="3655F1CA">
            <w:pPr>
              <w:pStyle w:val="138"/>
              <w:rPr>
                <w:rFonts w:hint="eastAsia" w:ascii="仿宋" w:hAnsi="仿宋" w:eastAsia="仿宋" w:cs="仿宋"/>
                <w:color w:val="auto"/>
              </w:rPr>
            </w:pPr>
            <w:r>
              <w:rPr>
                <w:rFonts w:hint="eastAsia" w:ascii="仿宋" w:hAnsi="仿宋" w:eastAsia="仿宋" w:cs="仿宋"/>
                <w:color w:val="auto"/>
              </w:rPr>
              <w:t>本项目生活污水进入化粪池处理达淮南市大通上窑工业集聚区污水处理厂接管标准后进污水处理厂处理，处理达标后排入窑河。项目所在区域属于淮南市大通上窑工业集聚区污水处理厂收水范围，淮南市大通上窑工业集聚区污水处理厂位于206国道北侧、入园道路西侧，占地约5119.48平方米，总投资3000万元。主要建设内容污水处理设施和配套管网工程，服务范围：窑河西岸南起206国道，北至三角湾南坝，西至现状道路，东至窑河。</w:t>
            </w:r>
          </w:p>
          <w:p w14:paraId="4B7D8DE8">
            <w:pPr>
              <w:pStyle w:val="138"/>
              <w:rPr>
                <w:rFonts w:hint="eastAsia" w:ascii="仿宋" w:hAnsi="仿宋" w:eastAsia="仿宋" w:cs="仿宋"/>
                <w:color w:val="auto"/>
              </w:rPr>
            </w:pPr>
            <w:r>
              <w:rPr>
                <w:rFonts w:hint="eastAsia" w:ascii="仿宋" w:hAnsi="仿宋" w:eastAsia="仿宋" w:cs="仿宋"/>
                <w:color w:val="auto"/>
              </w:rPr>
              <w:t>采用调节沉淀+SBR反应器+消毒池处理工艺，总设计污水处理能力3000</w:t>
            </w:r>
            <w:r>
              <w:rPr>
                <w:rFonts w:hint="eastAsia" w:ascii="仿宋" w:hAnsi="仿宋" w:eastAsia="仿宋" w:cs="仿宋"/>
                <w:color w:val="auto"/>
                <w:lang w:eastAsia="zh-CN"/>
              </w:rPr>
              <w:t>m³</w:t>
            </w:r>
            <w:r>
              <w:rPr>
                <w:rFonts w:hint="eastAsia" w:ascii="仿宋" w:hAnsi="仿宋" w:eastAsia="仿宋" w:cs="仿宋"/>
                <w:color w:val="auto"/>
              </w:rPr>
              <w:t>/d，污水处理厂可有效处理工业污水（包括一类重金属离子的处理），出水水质达到《城镇污水处理厂污染物排放标准》（GB18918-2002）中一级A标准后排入窑河。</w:t>
            </w:r>
          </w:p>
          <w:p w14:paraId="268E8B28">
            <w:pPr>
              <w:pStyle w:val="138"/>
              <w:rPr>
                <w:rFonts w:hint="eastAsia" w:ascii="仿宋" w:hAnsi="仿宋" w:eastAsia="仿宋" w:cs="仿宋"/>
                <w:color w:val="auto"/>
              </w:rPr>
            </w:pPr>
            <w:r>
              <w:rPr>
                <w:rFonts w:hint="eastAsia" w:ascii="仿宋" w:hAnsi="仿宋" w:eastAsia="仿宋" w:cs="仿宋"/>
                <w:color w:val="auto"/>
              </w:rPr>
              <w:t>（1）纳管可行性分析</w:t>
            </w:r>
          </w:p>
          <w:p w14:paraId="37127FB3">
            <w:pPr>
              <w:pStyle w:val="138"/>
              <w:rPr>
                <w:rFonts w:hint="eastAsia" w:ascii="仿宋" w:hAnsi="仿宋" w:eastAsia="仿宋" w:cs="仿宋"/>
                <w:color w:val="auto"/>
              </w:rPr>
            </w:pPr>
            <w:r>
              <w:rPr>
                <w:rFonts w:hint="eastAsia" w:ascii="仿宋" w:hAnsi="仿宋" w:eastAsia="仿宋" w:cs="仿宋"/>
                <w:color w:val="auto"/>
              </w:rPr>
              <w:t>根据淮南市大通上窑工业集聚区规划，本项目属于淮南市大通上窑工业集聚区污水处理厂污水收集范围内，且项目所在位置的园区污水管网已接入</w:t>
            </w:r>
            <w:r>
              <w:rPr>
                <w:rFonts w:hint="eastAsia" w:ascii="仿宋" w:hAnsi="仿宋" w:eastAsia="仿宋" w:cs="仿宋"/>
                <w:color w:val="auto"/>
                <w:lang w:eastAsia="zh-CN"/>
              </w:rPr>
              <w:t>上窑工业集聚区污水处理厂</w:t>
            </w:r>
            <w:r>
              <w:rPr>
                <w:rFonts w:hint="eastAsia" w:ascii="仿宋" w:hAnsi="仿宋" w:eastAsia="仿宋" w:cs="仿宋"/>
                <w:color w:val="auto"/>
              </w:rPr>
              <w:t>。</w:t>
            </w:r>
          </w:p>
          <w:p w14:paraId="1E9CFEA4">
            <w:pPr>
              <w:pStyle w:val="138"/>
              <w:rPr>
                <w:rFonts w:hint="eastAsia" w:ascii="仿宋" w:hAnsi="仿宋" w:eastAsia="仿宋" w:cs="仿宋"/>
                <w:color w:val="auto"/>
              </w:rPr>
            </w:pPr>
            <w:r>
              <w:rPr>
                <w:rFonts w:hint="eastAsia" w:ascii="仿宋" w:hAnsi="仿宋" w:eastAsia="仿宋" w:cs="仿宋"/>
                <w:color w:val="auto"/>
              </w:rPr>
              <w:t>（2）本项目污水水质及规模对污水处理厂的负荷性影响分析</w:t>
            </w:r>
          </w:p>
          <w:p w14:paraId="56EF19A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根据调查，淮南市大通上窑工业集聚区污水处理厂建设处理能力3000t/d，</w:t>
            </w:r>
            <w:r>
              <w:rPr>
                <w:rFonts w:hint="eastAsia" w:ascii="仿宋" w:hAnsi="仿宋" w:eastAsia="仿宋" w:cs="仿宋"/>
                <w:color w:val="auto"/>
                <w:sz w:val="24"/>
                <w:szCs w:val="24"/>
                <w:lang w:val="en-US" w:eastAsia="zh-CN"/>
              </w:rPr>
              <w:t>现状处理量约2000t/d，剩余处理量1000t/d，</w:t>
            </w:r>
            <w:r>
              <w:rPr>
                <w:rFonts w:hint="eastAsia" w:ascii="仿宋" w:hAnsi="仿宋" w:eastAsia="仿宋" w:cs="仿宋"/>
                <w:color w:val="auto"/>
                <w:sz w:val="24"/>
                <w:szCs w:val="24"/>
              </w:rPr>
              <w:t>本项目废水排放量为</w:t>
            </w:r>
            <w:r>
              <w:rPr>
                <w:rFonts w:hint="eastAsia" w:ascii="仿宋" w:hAnsi="仿宋" w:eastAsia="仿宋" w:cs="仿宋"/>
                <w:color w:val="auto"/>
                <w:sz w:val="24"/>
                <w:szCs w:val="24"/>
                <w:lang w:val="en-US" w:eastAsia="zh-CN"/>
              </w:rPr>
              <w:t>2.4t</w:t>
            </w:r>
            <w:r>
              <w:rPr>
                <w:rFonts w:hint="eastAsia" w:ascii="仿宋" w:hAnsi="仿宋" w:eastAsia="仿宋" w:cs="仿宋"/>
                <w:color w:val="auto"/>
                <w:sz w:val="24"/>
                <w:szCs w:val="24"/>
              </w:rPr>
              <w:t>/d，可见污水处理厂有接纳本项目污水的容量。项目所排废水主要为生活污水，主要污染因子是COD、BOD、SS、NH</w:t>
            </w:r>
            <w:r>
              <w:rPr>
                <w:rFonts w:hint="eastAsia" w:ascii="仿宋" w:hAnsi="仿宋" w:eastAsia="仿宋" w:cs="仿宋"/>
                <w:color w:val="auto"/>
                <w:sz w:val="24"/>
                <w:szCs w:val="24"/>
                <w:vertAlign w:val="subscript"/>
              </w:rPr>
              <w:t>3</w:t>
            </w:r>
            <w:r>
              <w:rPr>
                <w:rFonts w:hint="eastAsia" w:ascii="仿宋" w:hAnsi="仿宋" w:eastAsia="仿宋" w:cs="仿宋"/>
                <w:color w:val="auto"/>
                <w:sz w:val="24"/>
                <w:szCs w:val="24"/>
              </w:rPr>
              <w:t>-N</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总磷</w:t>
            </w:r>
            <w:r>
              <w:rPr>
                <w:rFonts w:hint="eastAsia" w:ascii="仿宋" w:hAnsi="仿宋" w:eastAsia="仿宋" w:cs="仿宋"/>
                <w:color w:val="auto"/>
                <w:sz w:val="24"/>
                <w:szCs w:val="24"/>
              </w:rPr>
              <w:t>等，经处理后的污染因子水质能满足淮南市大通上窑工业集聚区污水处理厂接管标准。所以，本项目废水对淮南市大通上窑工业集聚区污水处理厂不会产生较大负荷，本项目废水处理方案是可行的。</w:t>
            </w:r>
          </w:p>
          <w:p w14:paraId="7DD40895">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综上所述，本项目废水接入</w:t>
            </w:r>
            <w:r>
              <w:rPr>
                <w:rFonts w:hint="eastAsia" w:ascii="仿宋" w:hAnsi="仿宋" w:eastAsia="仿宋" w:cs="仿宋"/>
                <w:color w:val="auto"/>
                <w:sz w:val="24"/>
                <w:szCs w:val="24"/>
                <w:lang w:eastAsia="zh-CN"/>
              </w:rPr>
              <w:t>上窑工业聚集区污水处理厂</w:t>
            </w:r>
            <w:r>
              <w:rPr>
                <w:rFonts w:hint="eastAsia" w:ascii="仿宋" w:hAnsi="仿宋" w:eastAsia="仿宋" w:cs="仿宋"/>
                <w:color w:val="auto"/>
                <w:sz w:val="24"/>
                <w:szCs w:val="24"/>
              </w:rPr>
              <w:t>从地理位置和管网铺设方面考虑都是可行的。</w:t>
            </w:r>
          </w:p>
          <w:p w14:paraId="3382EBE3">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3、地表水环境监测计划 </w:t>
            </w:r>
          </w:p>
          <w:p w14:paraId="44E9C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根据《排污单位自行监测技术指南</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总则》（HJ819-2017）</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rPr>
              <w:t>本项目污染源监测计划见下表：</w:t>
            </w:r>
          </w:p>
          <w:p w14:paraId="7611B567">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仿宋" w:hAnsi="仿宋" w:eastAsia="仿宋" w:cs="仿宋"/>
                <w:b/>
                <w:bCs/>
                <w:color w:val="auto"/>
                <w:kern w:val="0"/>
                <w:sz w:val="21"/>
                <w:szCs w:val="21"/>
              </w:rPr>
            </w:pPr>
            <w:r>
              <w:rPr>
                <w:rFonts w:hint="eastAsia" w:ascii="仿宋" w:hAnsi="仿宋" w:eastAsia="仿宋" w:cs="仿宋"/>
                <w:b/>
                <w:bCs/>
                <w:color w:val="auto"/>
                <w:kern w:val="0"/>
                <w:sz w:val="21"/>
                <w:szCs w:val="21"/>
              </w:rPr>
              <w:t>表4-</w:t>
            </w:r>
            <w:r>
              <w:rPr>
                <w:rFonts w:hint="eastAsia" w:ascii="仿宋" w:hAnsi="仿宋" w:eastAsia="仿宋" w:cs="仿宋"/>
                <w:b/>
                <w:bCs/>
                <w:color w:val="auto"/>
                <w:kern w:val="0"/>
                <w:sz w:val="21"/>
                <w:szCs w:val="21"/>
                <w:lang w:val="en-US" w:eastAsia="zh-CN"/>
              </w:rPr>
              <w:t xml:space="preserve">14  </w:t>
            </w:r>
            <w:r>
              <w:rPr>
                <w:rFonts w:hint="eastAsia" w:ascii="仿宋" w:hAnsi="仿宋" w:eastAsia="仿宋" w:cs="仿宋"/>
                <w:b/>
                <w:bCs/>
                <w:color w:val="auto"/>
                <w:kern w:val="0"/>
                <w:sz w:val="21"/>
                <w:szCs w:val="21"/>
              </w:rPr>
              <w:t xml:space="preserve">  </w:t>
            </w:r>
            <w:r>
              <w:rPr>
                <w:rFonts w:hint="eastAsia" w:ascii="仿宋" w:hAnsi="仿宋" w:eastAsia="仿宋" w:cs="仿宋"/>
                <w:b/>
                <w:bCs/>
                <w:color w:val="auto"/>
                <w:kern w:val="0"/>
                <w:sz w:val="21"/>
                <w:szCs w:val="21"/>
                <w:lang w:val="en-US" w:eastAsia="zh-CN"/>
              </w:rPr>
              <w:t>废水</w:t>
            </w:r>
            <w:r>
              <w:rPr>
                <w:rFonts w:hint="eastAsia" w:ascii="仿宋" w:hAnsi="仿宋" w:eastAsia="仿宋" w:cs="仿宋"/>
                <w:b/>
                <w:bCs/>
                <w:color w:val="auto"/>
                <w:kern w:val="0"/>
                <w:sz w:val="21"/>
                <w:szCs w:val="21"/>
              </w:rPr>
              <w:t>监测计划及记录信息表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664"/>
              <w:gridCol w:w="1353"/>
              <w:gridCol w:w="1709"/>
              <w:gridCol w:w="1332"/>
              <w:gridCol w:w="2589"/>
            </w:tblGrid>
            <w:tr w14:paraId="32E56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0" w:type="pct"/>
                  <w:tcBorders>
                    <w:tl2br w:val="nil"/>
                    <w:tr2bl w:val="nil"/>
                  </w:tcBorders>
                  <w:vAlign w:val="center"/>
                </w:tcPr>
                <w:p w14:paraId="44E0B720">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项目</w:t>
                  </w:r>
                </w:p>
              </w:tc>
              <w:tc>
                <w:tcPr>
                  <w:tcW w:w="394" w:type="pct"/>
                  <w:tcBorders>
                    <w:tl2br w:val="nil"/>
                    <w:tr2bl w:val="nil"/>
                  </w:tcBorders>
                  <w:vAlign w:val="center"/>
                </w:tcPr>
                <w:p w14:paraId="13FF85B6">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类别</w:t>
                  </w:r>
                </w:p>
              </w:tc>
              <w:tc>
                <w:tcPr>
                  <w:tcW w:w="803" w:type="pct"/>
                  <w:tcBorders>
                    <w:tl2br w:val="nil"/>
                    <w:tr2bl w:val="nil"/>
                  </w:tcBorders>
                  <w:vAlign w:val="center"/>
                </w:tcPr>
                <w:p w14:paraId="31BD3E68">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监测点位</w:t>
                  </w:r>
                </w:p>
              </w:tc>
              <w:tc>
                <w:tcPr>
                  <w:tcW w:w="1014" w:type="pct"/>
                  <w:tcBorders>
                    <w:tl2br w:val="nil"/>
                    <w:tr2bl w:val="nil"/>
                  </w:tcBorders>
                  <w:vAlign w:val="bottom"/>
                </w:tcPr>
                <w:p w14:paraId="660E31E5">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监测项目</w:t>
                  </w:r>
                </w:p>
              </w:tc>
              <w:tc>
                <w:tcPr>
                  <w:tcW w:w="790" w:type="pct"/>
                  <w:tcBorders>
                    <w:tl2br w:val="nil"/>
                    <w:tr2bl w:val="nil"/>
                  </w:tcBorders>
                  <w:vAlign w:val="center"/>
                </w:tcPr>
                <w:p w14:paraId="61DFE926">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监测频次</w:t>
                  </w:r>
                </w:p>
              </w:tc>
              <w:tc>
                <w:tcPr>
                  <w:tcW w:w="1536" w:type="pct"/>
                  <w:tcBorders>
                    <w:tl2br w:val="nil"/>
                    <w:tr2bl w:val="nil"/>
                  </w:tcBorders>
                  <w:vAlign w:val="center"/>
                </w:tcPr>
                <w:p w14:paraId="74BE0546">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执行排放标准</w:t>
                  </w:r>
                </w:p>
              </w:tc>
            </w:tr>
            <w:tr w14:paraId="67AC7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0" w:type="pct"/>
                  <w:tcBorders>
                    <w:tl2br w:val="nil"/>
                    <w:tr2bl w:val="nil"/>
                  </w:tcBorders>
                  <w:vAlign w:val="center"/>
                </w:tcPr>
                <w:p w14:paraId="390EBA79">
                  <w:pPr>
                    <w:jc w:val="center"/>
                    <w:rPr>
                      <w:rFonts w:hint="eastAsia" w:ascii="仿宋" w:hAnsi="仿宋" w:eastAsia="仿宋" w:cs="仿宋"/>
                      <w:color w:val="auto"/>
                      <w:kern w:val="24"/>
                      <w:szCs w:val="21"/>
                    </w:rPr>
                  </w:pPr>
                  <w:r>
                    <w:rPr>
                      <w:rFonts w:hint="eastAsia" w:ascii="仿宋" w:hAnsi="仿宋" w:eastAsia="仿宋" w:cs="仿宋"/>
                      <w:color w:val="auto"/>
                      <w:kern w:val="24"/>
                      <w:szCs w:val="21"/>
                    </w:rPr>
                    <w:t>废水</w:t>
                  </w:r>
                </w:p>
              </w:tc>
              <w:tc>
                <w:tcPr>
                  <w:tcW w:w="394" w:type="pct"/>
                  <w:tcBorders>
                    <w:tl2br w:val="nil"/>
                    <w:tr2bl w:val="nil"/>
                  </w:tcBorders>
                  <w:vAlign w:val="center"/>
                </w:tcPr>
                <w:p w14:paraId="01FA76C6">
                  <w:pPr>
                    <w:jc w:val="center"/>
                    <w:rPr>
                      <w:rFonts w:hint="eastAsia" w:ascii="仿宋" w:hAnsi="仿宋" w:eastAsia="仿宋" w:cs="仿宋"/>
                      <w:color w:val="auto"/>
                      <w:kern w:val="24"/>
                      <w:szCs w:val="21"/>
                      <w:lang w:val="en-US" w:eastAsia="zh-CN"/>
                    </w:rPr>
                  </w:pPr>
                  <w:r>
                    <w:rPr>
                      <w:rFonts w:hint="eastAsia" w:ascii="仿宋" w:hAnsi="仿宋" w:eastAsia="仿宋" w:cs="仿宋"/>
                      <w:snapToGrid w:val="0"/>
                      <w:color w:val="auto"/>
                      <w:kern w:val="24"/>
                      <w:szCs w:val="21"/>
                      <w:lang w:val="en-US" w:eastAsia="zh-CN"/>
                    </w:rPr>
                    <w:t>综合废水</w:t>
                  </w:r>
                </w:p>
              </w:tc>
              <w:tc>
                <w:tcPr>
                  <w:tcW w:w="803" w:type="pct"/>
                  <w:tcBorders>
                    <w:tl2br w:val="nil"/>
                    <w:tr2bl w:val="nil"/>
                  </w:tcBorders>
                  <w:vAlign w:val="center"/>
                </w:tcPr>
                <w:p w14:paraId="3FFE0DAB">
                  <w:pPr>
                    <w:jc w:val="center"/>
                    <w:rPr>
                      <w:rFonts w:hint="eastAsia" w:ascii="仿宋" w:hAnsi="仿宋" w:eastAsia="仿宋" w:cs="仿宋"/>
                      <w:snapToGrid w:val="0"/>
                      <w:color w:val="auto"/>
                      <w:kern w:val="24"/>
                      <w:szCs w:val="21"/>
                    </w:rPr>
                  </w:pPr>
                  <w:r>
                    <w:rPr>
                      <w:rFonts w:hint="eastAsia" w:ascii="仿宋" w:hAnsi="仿宋" w:eastAsia="仿宋" w:cs="仿宋"/>
                      <w:snapToGrid w:val="0"/>
                      <w:color w:val="auto"/>
                      <w:kern w:val="24"/>
                      <w:szCs w:val="21"/>
                    </w:rPr>
                    <w:t>厂区总排口</w:t>
                  </w:r>
                </w:p>
              </w:tc>
              <w:tc>
                <w:tcPr>
                  <w:tcW w:w="1014" w:type="pct"/>
                  <w:tcBorders>
                    <w:tl2br w:val="nil"/>
                    <w:tr2bl w:val="nil"/>
                  </w:tcBorders>
                  <w:vAlign w:val="center"/>
                </w:tcPr>
                <w:p w14:paraId="0E528A48">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jc w:val="center"/>
                    <w:textAlignment w:val="auto"/>
                    <w:rPr>
                      <w:rFonts w:hint="default" w:ascii="仿宋" w:hAnsi="仿宋" w:eastAsia="仿宋" w:cs="仿宋"/>
                      <w:snapToGrid w:val="0"/>
                      <w:color w:val="auto"/>
                      <w:kern w:val="24"/>
                      <w:szCs w:val="21"/>
                      <w:lang w:val="en-US" w:eastAsia="zh-CN"/>
                    </w:rPr>
                  </w:pPr>
                  <w:r>
                    <w:rPr>
                      <w:rFonts w:hint="eastAsia" w:ascii="仿宋" w:hAnsi="仿宋" w:eastAsia="仿宋" w:cs="仿宋"/>
                      <w:snapToGrid w:val="0"/>
                      <w:color w:val="auto"/>
                      <w:kern w:val="0"/>
                    </w:rPr>
                    <w:t>COD</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lang w:eastAsia="zh-Hans"/>
                    </w:rPr>
                    <w:t>BOD</w:t>
                  </w:r>
                  <w:r>
                    <w:rPr>
                      <w:rFonts w:hint="eastAsia" w:ascii="仿宋" w:hAnsi="仿宋" w:eastAsia="仿宋" w:cs="仿宋"/>
                      <w:snapToGrid w:val="0"/>
                      <w:color w:val="auto"/>
                      <w:kern w:val="0"/>
                      <w:vertAlign w:val="subscript"/>
                      <w:lang w:eastAsia="zh-Hans"/>
                    </w:rPr>
                    <w:t>5</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rPr>
                    <w:t>SS</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rPr>
                    <w:t>氨氮</w:t>
                  </w:r>
                  <w:r>
                    <w:rPr>
                      <w:rFonts w:hint="eastAsia" w:ascii="仿宋" w:hAnsi="仿宋" w:eastAsia="仿宋" w:cs="仿宋"/>
                      <w:snapToGrid w:val="0"/>
                      <w:color w:val="auto"/>
                      <w:kern w:val="0"/>
                      <w:lang w:eastAsia="zh-CN"/>
                    </w:rPr>
                    <w:t>、</w:t>
                  </w:r>
                  <w:r>
                    <w:rPr>
                      <w:rFonts w:hint="eastAsia" w:ascii="仿宋" w:hAnsi="仿宋" w:eastAsia="仿宋" w:cs="仿宋"/>
                      <w:snapToGrid w:val="0"/>
                      <w:color w:val="auto"/>
                      <w:kern w:val="0"/>
                      <w:lang w:val="en-US" w:eastAsia="zh-CN"/>
                    </w:rPr>
                    <w:t>总磷</w:t>
                  </w:r>
                </w:p>
              </w:tc>
              <w:tc>
                <w:tcPr>
                  <w:tcW w:w="790" w:type="pct"/>
                  <w:tcBorders>
                    <w:tl2br w:val="nil"/>
                    <w:tr2bl w:val="nil"/>
                  </w:tcBorders>
                  <w:vAlign w:val="center"/>
                </w:tcPr>
                <w:p w14:paraId="35C63EBE">
                  <w:pPr>
                    <w:jc w:val="center"/>
                    <w:rPr>
                      <w:rFonts w:hint="eastAsia" w:ascii="仿宋" w:hAnsi="仿宋" w:eastAsia="仿宋" w:cs="仿宋"/>
                      <w:snapToGrid w:val="0"/>
                      <w:color w:val="auto"/>
                      <w:kern w:val="24"/>
                      <w:szCs w:val="21"/>
                    </w:rPr>
                  </w:pPr>
                  <w:r>
                    <w:rPr>
                      <w:rFonts w:hint="eastAsia" w:ascii="仿宋" w:hAnsi="仿宋" w:eastAsia="仿宋" w:cs="仿宋"/>
                      <w:snapToGrid w:val="0"/>
                      <w:color w:val="auto"/>
                      <w:kern w:val="24"/>
                      <w:szCs w:val="21"/>
                    </w:rPr>
                    <w:t>1次/</w:t>
                  </w:r>
                  <w:r>
                    <w:rPr>
                      <w:rFonts w:hint="eastAsia" w:ascii="仿宋" w:hAnsi="仿宋" w:eastAsia="仿宋" w:cs="仿宋"/>
                      <w:snapToGrid w:val="0"/>
                      <w:color w:val="auto"/>
                      <w:kern w:val="24"/>
                      <w:szCs w:val="21"/>
                      <w:lang w:val="en-US" w:eastAsia="zh-CN"/>
                    </w:rPr>
                    <w:t>半</w:t>
                  </w:r>
                  <w:r>
                    <w:rPr>
                      <w:rFonts w:hint="eastAsia" w:ascii="仿宋" w:hAnsi="仿宋" w:eastAsia="仿宋" w:cs="仿宋"/>
                      <w:snapToGrid w:val="0"/>
                      <w:color w:val="auto"/>
                      <w:kern w:val="24"/>
                      <w:szCs w:val="21"/>
                    </w:rPr>
                    <w:t>年</w:t>
                  </w:r>
                </w:p>
              </w:tc>
              <w:tc>
                <w:tcPr>
                  <w:tcW w:w="1536" w:type="pct"/>
                  <w:tcBorders>
                    <w:tl2br w:val="nil"/>
                    <w:tr2bl w:val="nil"/>
                  </w:tcBorders>
                  <w:vAlign w:val="center"/>
                </w:tcPr>
                <w:p w14:paraId="104D22D9">
                  <w:pPr>
                    <w:jc w:val="center"/>
                    <w:rPr>
                      <w:rFonts w:hint="eastAsia" w:ascii="仿宋" w:hAnsi="仿宋" w:eastAsia="仿宋" w:cs="仿宋"/>
                      <w:snapToGrid w:val="0"/>
                      <w:color w:val="auto"/>
                      <w:kern w:val="24"/>
                      <w:szCs w:val="21"/>
                    </w:rPr>
                  </w:pPr>
                  <w:r>
                    <w:rPr>
                      <w:rFonts w:hint="eastAsia" w:ascii="仿宋" w:hAnsi="仿宋" w:eastAsia="仿宋" w:cs="仿宋"/>
                      <w:snapToGrid w:val="0"/>
                      <w:color w:val="auto"/>
                      <w:kern w:val="24"/>
                      <w:szCs w:val="21"/>
                      <w:lang w:val="en-US" w:eastAsia="zh-CN"/>
                    </w:rPr>
                    <w:t>上窑工业聚集区污水处理厂</w:t>
                  </w:r>
                  <w:r>
                    <w:rPr>
                      <w:rFonts w:hint="eastAsia" w:ascii="仿宋" w:hAnsi="仿宋" w:eastAsia="仿宋" w:cs="仿宋"/>
                      <w:snapToGrid w:val="0"/>
                      <w:color w:val="auto"/>
                      <w:kern w:val="24"/>
                      <w:szCs w:val="21"/>
                    </w:rPr>
                    <w:t>接管标准</w:t>
                  </w:r>
                  <w:r>
                    <w:rPr>
                      <w:rFonts w:hint="eastAsia" w:ascii="仿宋" w:hAnsi="仿宋" w:eastAsia="仿宋" w:cs="仿宋"/>
                      <w:snapToGrid w:val="0"/>
                      <w:color w:val="auto"/>
                      <w:kern w:val="24"/>
                      <w:szCs w:val="21"/>
                      <w:lang w:val="en-US" w:eastAsia="zh-CN"/>
                    </w:rPr>
                    <w:t>要求</w:t>
                  </w:r>
                </w:p>
              </w:tc>
            </w:tr>
          </w:tbl>
          <w:p w14:paraId="4CFB6AA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三</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噪声</w:t>
            </w:r>
          </w:p>
          <w:p w14:paraId="27AA442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lang w:val="en-US" w:eastAsia="zh-CN"/>
              </w:rPr>
              <w:t>1、</w:t>
            </w:r>
            <w:r>
              <w:rPr>
                <w:rFonts w:hint="eastAsia" w:ascii="仿宋" w:hAnsi="仿宋" w:eastAsia="仿宋" w:cs="仿宋"/>
                <w:b/>
                <w:bCs/>
                <w:color w:val="auto"/>
                <w:sz w:val="24"/>
                <w:szCs w:val="24"/>
              </w:rPr>
              <w:t>噪声源强及降噪措施</w:t>
            </w:r>
          </w:p>
          <w:p w14:paraId="1749BCC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rPr>
              <w:t>本项目噪</w:t>
            </w:r>
            <w:r>
              <w:rPr>
                <w:rFonts w:hint="eastAsia" w:ascii="仿宋" w:hAnsi="仿宋" w:eastAsia="仿宋" w:cs="仿宋"/>
                <w:bCs/>
                <w:color w:val="auto"/>
                <w:sz w:val="24"/>
                <w:szCs w:val="24"/>
                <w:lang w:val="en-US" w:eastAsia="zh-CN"/>
              </w:rPr>
              <w:t>声源主要为高温发酵机、出料输送机</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成品筛分机</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返料粉碎机</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铲车喂料机、风机等设备，源强在70～85dB(A)之间。采取的降噪措施为优先选择用低噪声设备，设备设置于室内，车间厂房隔声，围墙隔声，距离衰减。</w:t>
            </w:r>
          </w:p>
          <w:p w14:paraId="49E4A59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本项目主要噪声源为设备运行时产生的设备噪声，噪声源强为</w:t>
            </w:r>
            <w:r>
              <w:rPr>
                <w:rFonts w:hint="eastAsia" w:ascii="仿宋" w:hAnsi="仿宋" w:eastAsia="仿宋" w:cs="仿宋"/>
                <w:bCs/>
                <w:color w:val="auto"/>
                <w:sz w:val="24"/>
                <w:szCs w:val="24"/>
                <w:lang w:val="en-US" w:eastAsia="zh-CN"/>
              </w:rPr>
              <w:t>70～85</w:t>
            </w:r>
            <w:r>
              <w:rPr>
                <w:rFonts w:hint="eastAsia" w:ascii="仿宋" w:hAnsi="仿宋" w:eastAsia="仿宋" w:cs="仿宋"/>
                <w:bCs/>
                <w:color w:val="auto"/>
                <w:sz w:val="24"/>
                <w:szCs w:val="24"/>
              </w:rPr>
              <w:t>dB（A），工程主要噪声源情况见下表：</w:t>
            </w:r>
          </w:p>
          <w:p w14:paraId="3267E1A7">
            <w:pPr>
              <w:keepNext w:val="0"/>
              <w:keepLines w:val="0"/>
              <w:pageBreakBefore w:val="0"/>
              <w:widowControl w:val="0"/>
              <w:kinsoku/>
              <w:wordWrap/>
              <w:overflowPunct/>
              <w:topLinePunct w:val="0"/>
              <w:autoSpaceDE/>
              <w:autoSpaceDN/>
              <w:bidi w:val="0"/>
              <w:adjustRightInd/>
              <w:snapToGrid/>
              <w:spacing w:line="440" w:lineRule="exact"/>
              <w:ind w:firstLine="504" w:firstLineChars="200"/>
              <w:textAlignment w:val="auto"/>
              <w:rPr>
                <w:rFonts w:hint="eastAsia" w:ascii="仿宋" w:hAnsi="仿宋" w:eastAsia="仿宋" w:cs="仿宋"/>
                <w:snapToGrid w:val="0"/>
                <w:color w:val="auto"/>
                <w:spacing w:val="6"/>
                <w:kern w:val="0"/>
                <w:sz w:val="24"/>
              </w:rPr>
            </w:pPr>
          </w:p>
          <w:p w14:paraId="306CEBB6">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1CFA406D">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6B8C1CA7">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72B740F">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53D64E4C">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49E38CBD">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7167BD68">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6981F05F">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2FE9B1B0">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740D73C5">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D70A36F">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2B5B6864">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550A1C2">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F6546B9">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404EAE9A">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3928E5E7">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6705911A">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1E347FA2">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20FE0B8E">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33F7B544">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19CED112">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D9AD5AE">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14D24C21">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49D5E842">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p w14:paraId="0C13FA52">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tc>
      </w:tr>
    </w:tbl>
    <w:p w14:paraId="220A91D7">
      <w:pPr>
        <w:pStyle w:val="28"/>
        <w:spacing w:before="0" w:beforeAutospacing="0" w:after="0" w:afterAutospacing="0"/>
        <w:jc w:val="both"/>
        <w:outlineLvl w:val="0"/>
        <w:rPr>
          <w:rFonts w:hint="eastAsia" w:ascii="仿宋" w:hAnsi="仿宋" w:eastAsia="仿宋" w:cs="仿宋"/>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3069"/>
      </w:tblGrid>
      <w:tr w14:paraId="510A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9" w:hRule="atLeast"/>
        </w:trPr>
        <w:tc>
          <w:tcPr>
            <w:tcW w:w="583" w:type="dxa"/>
          </w:tcPr>
          <w:p w14:paraId="25801C50">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r>
              <w:rPr>
                <w:rFonts w:hint="eastAsia" w:ascii="仿宋" w:hAnsi="仿宋" w:eastAsia="仿宋" w:cs="仿宋"/>
                <w:bCs/>
                <w:color w:val="auto"/>
                <w:sz w:val="24"/>
                <w:szCs w:val="24"/>
              </w:rPr>
              <w:t>运营期环境影响和保护措施</w:t>
            </w:r>
          </w:p>
        </w:tc>
        <w:tc>
          <w:tcPr>
            <w:tcW w:w="13069" w:type="dxa"/>
          </w:tcPr>
          <w:p w14:paraId="29088E85">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仿宋" w:hAnsi="仿宋" w:eastAsia="仿宋" w:cs="仿宋"/>
                <w:b/>
                <w:bCs/>
                <w:color w:val="auto"/>
                <w:kern w:val="0"/>
                <w:sz w:val="21"/>
                <w:szCs w:val="21"/>
              </w:rPr>
            </w:pPr>
            <w:r>
              <w:rPr>
                <w:rFonts w:hint="eastAsia" w:ascii="仿宋" w:hAnsi="仿宋" w:eastAsia="仿宋" w:cs="仿宋"/>
                <w:b/>
                <w:bCs/>
                <w:color w:val="auto"/>
                <w:kern w:val="0"/>
                <w:sz w:val="21"/>
                <w:szCs w:val="21"/>
              </w:rPr>
              <w:t>表</w:t>
            </w:r>
            <w:r>
              <w:rPr>
                <w:rFonts w:hint="eastAsia" w:ascii="仿宋" w:hAnsi="仿宋" w:eastAsia="仿宋" w:cs="仿宋"/>
                <w:b/>
                <w:bCs/>
                <w:color w:val="auto"/>
                <w:kern w:val="0"/>
                <w:sz w:val="21"/>
                <w:szCs w:val="21"/>
                <w:lang w:val="en-US"/>
              </w:rPr>
              <w:t>4-</w:t>
            </w:r>
            <w:r>
              <w:rPr>
                <w:rFonts w:hint="eastAsia" w:ascii="仿宋" w:hAnsi="仿宋" w:eastAsia="仿宋" w:cs="仿宋"/>
                <w:b/>
                <w:bCs/>
                <w:color w:val="auto"/>
                <w:kern w:val="0"/>
                <w:sz w:val="21"/>
                <w:szCs w:val="21"/>
                <w:lang w:val="en-US" w:eastAsia="zh-CN"/>
              </w:rPr>
              <w:t>15</w:t>
            </w:r>
            <w:r>
              <w:rPr>
                <w:rFonts w:hint="eastAsia" w:ascii="仿宋" w:hAnsi="仿宋" w:eastAsia="仿宋" w:cs="仿宋"/>
                <w:b/>
                <w:bCs/>
                <w:color w:val="auto"/>
                <w:kern w:val="0"/>
                <w:sz w:val="21"/>
                <w:szCs w:val="21"/>
              </w:rPr>
              <w:t xml:space="preserve">  项目</w:t>
            </w:r>
            <w:r>
              <w:rPr>
                <w:rFonts w:hint="eastAsia" w:ascii="仿宋" w:hAnsi="仿宋" w:eastAsia="仿宋" w:cs="仿宋"/>
                <w:b/>
                <w:bCs/>
                <w:color w:val="auto"/>
                <w:kern w:val="0"/>
                <w:sz w:val="21"/>
                <w:szCs w:val="21"/>
                <w:lang w:val="en-US" w:eastAsia="zh-CN"/>
              </w:rPr>
              <w:t>厂房内</w:t>
            </w:r>
            <w:r>
              <w:rPr>
                <w:rFonts w:hint="eastAsia" w:ascii="仿宋" w:hAnsi="仿宋" w:eastAsia="仿宋" w:cs="仿宋"/>
                <w:b/>
                <w:bCs/>
                <w:color w:val="auto"/>
                <w:kern w:val="0"/>
                <w:sz w:val="21"/>
                <w:szCs w:val="21"/>
              </w:rPr>
              <w:t>主要噪声源强及排放情况</w:t>
            </w:r>
          </w:p>
          <w:tbl>
            <w:tblPr>
              <w:tblStyle w:val="32"/>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535"/>
              <w:gridCol w:w="1008"/>
              <w:gridCol w:w="1419"/>
              <w:gridCol w:w="987"/>
              <w:gridCol w:w="987"/>
              <w:gridCol w:w="987"/>
              <w:gridCol w:w="987"/>
              <w:gridCol w:w="987"/>
              <w:gridCol w:w="995"/>
              <w:gridCol w:w="987"/>
              <w:gridCol w:w="988"/>
              <w:gridCol w:w="988"/>
              <w:gridCol w:w="988"/>
            </w:tblGrid>
            <w:tr w14:paraId="287A6E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510" w:hRule="atLeast"/>
                <w:jc w:val="center"/>
              </w:trPr>
              <w:tc>
                <w:tcPr>
                  <w:tcW w:w="208" w:type="pct"/>
                  <w:vMerge w:val="restart"/>
                  <w:tcBorders>
                    <w:tl2br w:val="nil"/>
                    <w:tr2bl w:val="nil"/>
                  </w:tcBorders>
                  <w:shd w:val="clear" w:color="auto" w:fill="auto"/>
                  <w:vAlign w:val="center"/>
                </w:tcPr>
                <w:p w14:paraId="3DD82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392" w:type="pct"/>
                  <w:vMerge w:val="restart"/>
                  <w:tcBorders>
                    <w:tl2br w:val="nil"/>
                    <w:tr2bl w:val="nil"/>
                  </w:tcBorders>
                  <w:shd w:val="clear" w:color="auto" w:fill="auto"/>
                  <w:vAlign w:val="center"/>
                </w:tcPr>
                <w:p w14:paraId="5A38A4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建筑物名称</w:t>
                  </w:r>
                </w:p>
              </w:tc>
              <w:tc>
                <w:tcPr>
                  <w:tcW w:w="552" w:type="pct"/>
                  <w:vMerge w:val="restart"/>
                  <w:tcBorders>
                    <w:tl2br w:val="nil"/>
                    <w:tr2bl w:val="nil"/>
                  </w:tcBorders>
                  <w:shd w:val="clear" w:color="auto" w:fill="auto"/>
                  <w:vAlign w:val="center"/>
                </w:tcPr>
                <w:p w14:paraId="05B4B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声源名称</w:t>
                  </w:r>
                </w:p>
              </w:tc>
              <w:tc>
                <w:tcPr>
                  <w:tcW w:w="384" w:type="pct"/>
                  <w:vMerge w:val="restart"/>
                  <w:tcBorders>
                    <w:tl2br w:val="nil"/>
                    <w:tr2bl w:val="nil"/>
                  </w:tcBorders>
                  <w:shd w:val="clear" w:color="auto" w:fill="auto"/>
                  <w:vAlign w:val="center"/>
                </w:tcPr>
                <w:p w14:paraId="5D62B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数量（台）</w:t>
                  </w:r>
                </w:p>
              </w:tc>
              <w:tc>
                <w:tcPr>
                  <w:tcW w:w="384" w:type="pct"/>
                  <w:vMerge w:val="restart"/>
                  <w:tcBorders>
                    <w:tl2br w:val="nil"/>
                    <w:tr2bl w:val="nil"/>
                  </w:tcBorders>
                  <w:shd w:val="clear" w:color="auto" w:fill="auto"/>
                  <w:vAlign w:val="center"/>
                </w:tcPr>
                <w:p w14:paraId="55A035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声压级/距离声源距离dB(A)/m</w:t>
                  </w:r>
                </w:p>
              </w:tc>
              <w:tc>
                <w:tcPr>
                  <w:tcW w:w="384" w:type="pct"/>
                  <w:vMerge w:val="restart"/>
                  <w:tcBorders>
                    <w:tl2br w:val="nil"/>
                    <w:tr2bl w:val="nil"/>
                  </w:tcBorders>
                  <w:shd w:val="clear" w:color="auto" w:fill="auto"/>
                  <w:vAlign w:val="center"/>
                </w:tcPr>
                <w:p w14:paraId="6DA1D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声源控制措施</w:t>
                  </w:r>
                </w:p>
              </w:tc>
              <w:tc>
                <w:tcPr>
                  <w:tcW w:w="1155" w:type="pct"/>
                  <w:gridSpan w:val="3"/>
                  <w:tcBorders>
                    <w:tl2br w:val="nil"/>
                    <w:tr2bl w:val="nil"/>
                  </w:tcBorders>
                  <w:shd w:val="clear" w:color="auto" w:fill="auto"/>
                  <w:vAlign w:val="center"/>
                </w:tcPr>
                <w:p w14:paraId="7916D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空间相对位置/m</w:t>
                  </w:r>
                </w:p>
              </w:tc>
              <w:tc>
                <w:tcPr>
                  <w:tcW w:w="384" w:type="pct"/>
                  <w:vMerge w:val="restart"/>
                  <w:tcBorders>
                    <w:tl2br w:val="nil"/>
                    <w:tr2bl w:val="nil"/>
                  </w:tcBorders>
                  <w:shd w:val="clear" w:color="auto" w:fill="auto"/>
                  <w:vAlign w:val="center"/>
                </w:tcPr>
                <w:p w14:paraId="2E260A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距室内边界距离/m</w:t>
                  </w:r>
                </w:p>
              </w:tc>
              <w:tc>
                <w:tcPr>
                  <w:tcW w:w="384" w:type="pct"/>
                  <w:vMerge w:val="restart"/>
                  <w:tcBorders>
                    <w:tl2br w:val="nil"/>
                    <w:tr2bl w:val="nil"/>
                  </w:tcBorders>
                  <w:shd w:val="clear" w:color="auto" w:fill="auto"/>
                  <w:vAlign w:val="center"/>
                </w:tcPr>
                <w:p w14:paraId="18706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运行时段</w:t>
                  </w:r>
                </w:p>
              </w:tc>
              <w:tc>
                <w:tcPr>
                  <w:tcW w:w="384" w:type="pct"/>
                  <w:vMerge w:val="restart"/>
                  <w:tcBorders>
                    <w:tl2br w:val="nil"/>
                    <w:tr2bl w:val="nil"/>
                  </w:tcBorders>
                  <w:shd w:val="clear" w:color="auto" w:fill="auto"/>
                  <w:vAlign w:val="center"/>
                </w:tcPr>
                <w:p w14:paraId="3F068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建筑物插入损失/dB(A)</w:t>
                  </w:r>
                </w:p>
              </w:tc>
              <w:tc>
                <w:tcPr>
                  <w:tcW w:w="384" w:type="pct"/>
                  <w:tcBorders>
                    <w:tl2br w:val="nil"/>
                    <w:tr2bl w:val="nil"/>
                  </w:tcBorders>
                  <w:shd w:val="clear" w:color="auto" w:fill="auto"/>
                  <w:vAlign w:val="center"/>
                </w:tcPr>
                <w:p w14:paraId="5EF6D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建筑物外噪声</w:t>
                  </w:r>
                </w:p>
              </w:tc>
            </w:tr>
            <w:tr w14:paraId="45F366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80" w:hRule="atLeast"/>
                <w:jc w:val="center"/>
              </w:trPr>
              <w:tc>
                <w:tcPr>
                  <w:tcW w:w="208" w:type="pct"/>
                  <w:vMerge w:val="continue"/>
                  <w:tcBorders>
                    <w:tl2br w:val="nil"/>
                    <w:tr2bl w:val="nil"/>
                  </w:tcBorders>
                  <w:shd w:val="clear" w:color="auto" w:fill="auto"/>
                  <w:vAlign w:val="center"/>
                </w:tcPr>
                <w:p w14:paraId="344A1B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92" w:type="pct"/>
                  <w:vMerge w:val="continue"/>
                  <w:tcBorders>
                    <w:tl2br w:val="nil"/>
                    <w:tr2bl w:val="nil"/>
                  </w:tcBorders>
                  <w:shd w:val="clear" w:color="auto" w:fill="auto"/>
                  <w:vAlign w:val="center"/>
                </w:tcPr>
                <w:p w14:paraId="1A2C8A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552" w:type="pct"/>
                  <w:vMerge w:val="continue"/>
                  <w:tcBorders>
                    <w:tl2br w:val="nil"/>
                    <w:tr2bl w:val="nil"/>
                  </w:tcBorders>
                  <w:shd w:val="clear" w:color="auto" w:fill="auto"/>
                  <w:vAlign w:val="center"/>
                </w:tcPr>
                <w:p w14:paraId="6305F6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vMerge w:val="continue"/>
                  <w:tcBorders>
                    <w:tl2br w:val="nil"/>
                    <w:tr2bl w:val="nil"/>
                  </w:tcBorders>
                  <w:shd w:val="clear" w:color="auto" w:fill="auto"/>
                  <w:vAlign w:val="center"/>
                </w:tcPr>
                <w:p w14:paraId="12C078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vMerge w:val="continue"/>
                  <w:tcBorders>
                    <w:tl2br w:val="nil"/>
                    <w:tr2bl w:val="nil"/>
                  </w:tcBorders>
                  <w:shd w:val="clear" w:color="auto" w:fill="auto"/>
                  <w:vAlign w:val="center"/>
                </w:tcPr>
                <w:p w14:paraId="7A402A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vMerge w:val="continue"/>
                  <w:tcBorders>
                    <w:tl2br w:val="nil"/>
                    <w:tr2bl w:val="nil"/>
                  </w:tcBorders>
                  <w:shd w:val="clear" w:color="auto" w:fill="auto"/>
                  <w:vAlign w:val="center"/>
                </w:tcPr>
                <w:p w14:paraId="31B48F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04134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X</w:t>
                  </w:r>
                </w:p>
              </w:tc>
              <w:tc>
                <w:tcPr>
                  <w:tcW w:w="384" w:type="pct"/>
                  <w:tcBorders>
                    <w:tl2br w:val="nil"/>
                    <w:tr2bl w:val="nil"/>
                  </w:tcBorders>
                  <w:shd w:val="clear" w:color="auto" w:fill="auto"/>
                  <w:vAlign w:val="center"/>
                </w:tcPr>
                <w:p w14:paraId="63EB94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Y</w:t>
                  </w:r>
                </w:p>
              </w:tc>
              <w:tc>
                <w:tcPr>
                  <w:tcW w:w="387" w:type="pct"/>
                  <w:tcBorders>
                    <w:tl2br w:val="nil"/>
                    <w:tr2bl w:val="nil"/>
                  </w:tcBorders>
                  <w:shd w:val="clear" w:color="auto" w:fill="auto"/>
                  <w:vAlign w:val="center"/>
                </w:tcPr>
                <w:p w14:paraId="28C5F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Z</w:t>
                  </w:r>
                </w:p>
              </w:tc>
              <w:tc>
                <w:tcPr>
                  <w:tcW w:w="384" w:type="pct"/>
                  <w:vMerge w:val="continue"/>
                  <w:tcBorders>
                    <w:tl2br w:val="nil"/>
                    <w:tr2bl w:val="nil"/>
                  </w:tcBorders>
                  <w:shd w:val="clear" w:color="auto" w:fill="auto"/>
                  <w:vAlign w:val="center"/>
                </w:tcPr>
                <w:p w14:paraId="79DE59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vMerge w:val="continue"/>
                  <w:tcBorders>
                    <w:tl2br w:val="nil"/>
                    <w:tr2bl w:val="nil"/>
                  </w:tcBorders>
                  <w:shd w:val="clear" w:color="auto" w:fill="auto"/>
                  <w:vAlign w:val="center"/>
                </w:tcPr>
                <w:p w14:paraId="02FB0F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vMerge w:val="continue"/>
                  <w:tcBorders>
                    <w:tl2br w:val="nil"/>
                    <w:tr2bl w:val="nil"/>
                  </w:tcBorders>
                  <w:shd w:val="clear" w:color="auto" w:fill="auto"/>
                  <w:vAlign w:val="center"/>
                </w:tcPr>
                <w:p w14:paraId="5C0A68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20966F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声压级dB（A）</w:t>
                  </w:r>
                </w:p>
              </w:tc>
            </w:tr>
            <w:tr w14:paraId="5302A3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208" w:type="pct"/>
                  <w:tcBorders>
                    <w:tl2br w:val="nil"/>
                    <w:tr2bl w:val="nil"/>
                  </w:tcBorders>
                  <w:shd w:val="clear" w:color="auto" w:fill="auto"/>
                  <w:vAlign w:val="center"/>
                </w:tcPr>
                <w:p w14:paraId="412AC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92" w:type="pct"/>
                  <w:vMerge w:val="restart"/>
                  <w:tcBorders>
                    <w:tl2br w:val="nil"/>
                    <w:tr2bl w:val="nil"/>
                  </w:tcBorders>
                  <w:shd w:val="clear" w:color="auto" w:fill="auto"/>
                  <w:vAlign w:val="center"/>
                </w:tcPr>
                <w:p w14:paraId="43422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生产车间</w:t>
                  </w:r>
                </w:p>
              </w:tc>
              <w:tc>
                <w:tcPr>
                  <w:tcW w:w="552" w:type="pct"/>
                  <w:tcBorders>
                    <w:tl2br w:val="nil"/>
                    <w:tr2bl w:val="nil"/>
                  </w:tcBorders>
                  <w:shd w:val="clear" w:color="auto" w:fill="auto"/>
                  <w:vAlign w:val="center"/>
                </w:tcPr>
                <w:p w14:paraId="28639E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高温发酵机</w:t>
                  </w:r>
                </w:p>
              </w:tc>
              <w:tc>
                <w:tcPr>
                  <w:tcW w:w="384" w:type="pct"/>
                  <w:tcBorders>
                    <w:tl2br w:val="nil"/>
                    <w:tr2bl w:val="nil"/>
                  </w:tcBorders>
                  <w:shd w:val="clear" w:color="auto" w:fill="auto"/>
                  <w:vAlign w:val="center"/>
                </w:tcPr>
                <w:p w14:paraId="591DE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384" w:type="pct"/>
                  <w:tcBorders>
                    <w:tl2br w:val="nil"/>
                    <w:tr2bl w:val="nil"/>
                  </w:tcBorders>
                  <w:shd w:val="clear" w:color="auto" w:fill="auto"/>
                  <w:vAlign w:val="center"/>
                </w:tcPr>
                <w:p w14:paraId="082DC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80</w:t>
                  </w:r>
                  <w:r>
                    <w:rPr>
                      <w:rFonts w:hint="eastAsia" w:ascii="仿宋" w:hAnsi="仿宋" w:cs="仿宋"/>
                      <w:i w:val="0"/>
                      <w:iCs w:val="0"/>
                      <w:color w:val="000000"/>
                      <w:kern w:val="0"/>
                      <w:sz w:val="18"/>
                      <w:szCs w:val="18"/>
                      <w:u w:val="none"/>
                      <w:lang w:val="en-US" w:eastAsia="zh-CN" w:bidi="ar"/>
                    </w:rPr>
                    <w:t>/1</w:t>
                  </w:r>
                </w:p>
              </w:tc>
              <w:tc>
                <w:tcPr>
                  <w:tcW w:w="384" w:type="pct"/>
                  <w:vMerge w:val="restart"/>
                  <w:tcBorders>
                    <w:tl2br w:val="nil"/>
                    <w:tr2bl w:val="nil"/>
                  </w:tcBorders>
                  <w:shd w:val="clear" w:color="auto" w:fill="auto"/>
                  <w:vAlign w:val="center"/>
                </w:tcPr>
                <w:p w14:paraId="123C7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加强设备维修保养、减震、厂房隔声等</w:t>
                  </w:r>
                </w:p>
              </w:tc>
              <w:tc>
                <w:tcPr>
                  <w:tcW w:w="384" w:type="pct"/>
                  <w:tcBorders>
                    <w:tl2br w:val="nil"/>
                    <w:tr2bl w:val="nil"/>
                  </w:tcBorders>
                  <w:shd w:val="clear" w:color="auto" w:fill="auto"/>
                  <w:vAlign w:val="center"/>
                </w:tcPr>
                <w:p w14:paraId="10287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50</w:t>
                  </w:r>
                </w:p>
              </w:tc>
              <w:tc>
                <w:tcPr>
                  <w:tcW w:w="384" w:type="pct"/>
                  <w:tcBorders>
                    <w:tl2br w:val="nil"/>
                    <w:tr2bl w:val="nil"/>
                  </w:tcBorders>
                  <w:shd w:val="clear" w:color="auto" w:fill="auto"/>
                  <w:vAlign w:val="center"/>
                </w:tcPr>
                <w:p w14:paraId="347E7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83</w:t>
                  </w:r>
                </w:p>
              </w:tc>
              <w:tc>
                <w:tcPr>
                  <w:tcW w:w="387" w:type="pct"/>
                  <w:tcBorders>
                    <w:tl2br w:val="nil"/>
                    <w:tr2bl w:val="nil"/>
                  </w:tcBorders>
                  <w:shd w:val="clear" w:color="auto" w:fill="auto"/>
                  <w:vAlign w:val="center"/>
                </w:tcPr>
                <w:p w14:paraId="7FA27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36434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384" w:type="pct"/>
                  <w:tcBorders>
                    <w:tl2br w:val="nil"/>
                    <w:tr2bl w:val="nil"/>
                  </w:tcBorders>
                  <w:shd w:val="clear" w:color="auto" w:fill="auto"/>
                  <w:vAlign w:val="center"/>
                </w:tcPr>
                <w:p w14:paraId="5E8566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全天</w:t>
                  </w:r>
                </w:p>
              </w:tc>
              <w:tc>
                <w:tcPr>
                  <w:tcW w:w="384" w:type="pct"/>
                  <w:tcBorders>
                    <w:tl2br w:val="nil"/>
                    <w:tr2bl w:val="nil"/>
                  </w:tcBorders>
                  <w:shd w:val="clear" w:color="auto" w:fill="auto"/>
                  <w:vAlign w:val="center"/>
                </w:tcPr>
                <w:p w14:paraId="488070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15</w:t>
                  </w:r>
                </w:p>
              </w:tc>
              <w:tc>
                <w:tcPr>
                  <w:tcW w:w="988" w:type="dxa"/>
                  <w:tcBorders>
                    <w:tl2br w:val="nil"/>
                    <w:tr2bl w:val="nil"/>
                  </w:tcBorders>
                  <w:shd w:val="clear" w:color="auto" w:fill="auto"/>
                  <w:vAlign w:val="center"/>
                </w:tcPr>
                <w:p w14:paraId="7489F9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57</w:t>
                  </w:r>
                </w:p>
              </w:tc>
            </w:tr>
            <w:tr w14:paraId="0B269E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08" w:type="pct"/>
                  <w:tcBorders>
                    <w:tl2br w:val="nil"/>
                    <w:tr2bl w:val="nil"/>
                  </w:tcBorders>
                  <w:shd w:val="clear" w:color="auto" w:fill="auto"/>
                  <w:vAlign w:val="center"/>
                </w:tcPr>
                <w:p w14:paraId="1D2B1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392" w:type="pct"/>
                  <w:vMerge w:val="continue"/>
                  <w:tcBorders>
                    <w:tl2br w:val="nil"/>
                    <w:tr2bl w:val="nil"/>
                  </w:tcBorders>
                  <w:shd w:val="clear" w:color="auto" w:fill="auto"/>
                  <w:vAlign w:val="center"/>
                </w:tcPr>
                <w:p w14:paraId="38F198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552" w:type="pct"/>
                  <w:tcBorders>
                    <w:tl2br w:val="nil"/>
                    <w:tr2bl w:val="nil"/>
                  </w:tcBorders>
                  <w:shd w:val="clear" w:color="auto" w:fill="auto"/>
                  <w:vAlign w:val="center"/>
                </w:tcPr>
                <w:p w14:paraId="79516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出料输送机</w:t>
                  </w:r>
                </w:p>
              </w:tc>
              <w:tc>
                <w:tcPr>
                  <w:tcW w:w="384" w:type="pct"/>
                  <w:tcBorders>
                    <w:tl2br w:val="nil"/>
                    <w:tr2bl w:val="nil"/>
                  </w:tcBorders>
                  <w:shd w:val="clear" w:color="auto" w:fill="auto"/>
                  <w:vAlign w:val="center"/>
                </w:tcPr>
                <w:p w14:paraId="4E83B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384" w:type="pct"/>
                  <w:tcBorders>
                    <w:tl2br w:val="nil"/>
                    <w:tr2bl w:val="nil"/>
                  </w:tcBorders>
                  <w:shd w:val="clear" w:color="auto" w:fill="auto"/>
                  <w:vAlign w:val="center"/>
                </w:tcPr>
                <w:p w14:paraId="4E7BC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70</w:t>
                  </w:r>
                  <w:r>
                    <w:rPr>
                      <w:rFonts w:hint="eastAsia" w:ascii="仿宋" w:hAnsi="仿宋" w:cs="仿宋"/>
                      <w:i w:val="0"/>
                      <w:iCs w:val="0"/>
                      <w:color w:val="000000"/>
                      <w:kern w:val="0"/>
                      <w:sz w:val="18"/>
                      <w:szCs w:val="18"/>
                      <w:u w:val="none"/>
                      <w:lang w:val="en-US" w:eastAsia="zh-CN" w:bidi="ar"/>
                    </w:rPr>
                    <w:t>/1</w:t>
                  </w:r>
                </w:p>
              </w:tc>
              <w:tc>
                <w:tcPr>
                  <w:tcW w:w="384" w:type="pct"/>
                  <w:vMerge w:val="continue"/>
                  <w:tcBorders>
                    <w:tl2br w:val="nil"/>
                    <w:tr2bl w:val="nil"/>
                  </w:tcBorders>
                  <w:shd w:val="clear" w:color="auto" w:fill="auto"/>
                  <w:vAlign w:val="center"/>
                </w:tcPr>
                <w:p w14:paraId="4E481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27AF3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60</w:t>
                  </w:r>
                </w:p>
              </w:tc>
              <w:tc>
                <w:tcPr>
                  <w:tcW w:w="384" w:type="pct"/>
                  <w:tcBorders>
                    <w:tl2br w:val="nil"/>
                    <w:tr2bl w:val="nil"/>
                  </w:tcBorders>
                  <w:shd w:val="clear" w:color="auto" w:fill="auto"/>
                  <w:vAlign w:val="center"/>
                </w:tcPr>
                <w:p w14:paraId="12EF8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83</w:t>
                  </w:r>
                </w:p>
              </w:tc>
              <w:tc>
                <w:tcPr>
                  <w:tcW w:w="387" w:type="pct"/>
                  <w:tcBorders>
                    <w:tl2br w:val="nil"/>
                    <w:tr2bl w:val="nil"/>
                  </w:tcBorders>
                  <w:shd w:val="clear" w:color="auto" w:fill="auto"/>
                  <w:vAlign w:val="center"/>
                </w:tcPr>
                <w:p w14:paraId="6BCF4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7D5CE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384" w:type="pct"/>
                  <w:tcBorders>
                    <w:tl2br w:val="nil"/>
                    <w:tr2bl w:val="nil"/>
                  </w:tcBorders>
                  <w:shd w:val="clear" w:color="auto" w:fill="auto"/>
                  <w:vAlign w:val="center"/>
                </w:tcPr>
                <w:p w14:paraId="3D9A3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全天</w:t>
                  </w:r>
                </w:p>
              </w:tc>
              <w:tc>
                <w:tcPr>
                  <w:tcW w:w="384" w:type="pct"/>
                  <w:tcBorders>
                    <w:tl2br w:val="nil"/>
                    <w:tr2bl w:val="nil"/>
                  </w:tcBorders>
                  <w:shd w:val="clear" w:color="auto" w:fill="auto"/>
                  <w:vAlign w:val="center"/>
                </w:tcPr>
                <w:p w14:paraId="5D863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988" w:type="dxa"/>
                  <w:tcBorders>
                    <w:tl2br w:val="nil"/>
                    <w:tr2bl w:val="nil"/>
                  </w:tcBorders>
                  <w:shd w:val="clear" w:color="auto" w:fill="auto"/>
                  <w:vAlign w:val="center"/>
                </w:tcPr>
                <w:p w14:paraId="2C154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r>
            <w:tr w14:paraId="3D0BC4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08" w:type="pct"/>
                  <w:tcBorders>
                    <w:tl2br w:val="nil"/>
                    <w:tr2bl w:val="nil"/>
                  </w:tcBorders>
                  <w:shd w:val="clear" w:color="auto" w:fill="auto"/>
                  <w:vAlign w:val="center"/>
                </w:tcPr>
                <w:p w14:paraId="64E327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392" w:type="pct"/>
                  <w:vMerge w:val="continue"/>
                  <w:tcBorders>
                    <w:tl2br w:val="nil"/>
                    <w:tr2bl w:val="nil"/>
                  </w:tcBorders>
                  <w:shd w:val="clear" w:color="auto" w:fill="auto"/>
                  <w:vAlign w:val="center"/>
                </w:tcPr>
                <w:p w14:paraId="6817BB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552" w:type="pct"/>
                  <w:tcBorders>
                    <w:tl2br w:val="nil"/>
                    <w:tr2bl w:val="nil"/>
                  </w:tcBorders>
                  <w:shd w:val="clear" w:color="auto" w:fill="auto"/>
                  <w:vAlign w:val="center"/>
                </w:tcPr>
                <w:p w14:paraId="04452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成品筛分机</w:t>
                  </w:r>
                </w:p>
              </w:tc>
              <w:tc>
                <w:tcPr>
                  <w:tcW w:w="384" w:type="pct"/>
                  <w:tcBorders>
                    <w:tl2br w:val="nil"/>
                    <w:tr2bl w:val="nil"/>
                  </w:tcBorders>
                  <w:shd w:val="clear" w:color="auto" w:fill="auto"/>
                  <w:vAlign w:val="center"/>
                </w:tcPr>
                <w:p w14:paraId="2D67E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2E1B0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85</w:t>
                  </w:r>
                  <w:r>
                    <w:rPr>
                      <w:rFonts w:hint="eastAsia" w:ascii="仿宋" w:hAnsi="仿宋" w:cs="仿宋"/>
                      <w:i w:val="0"/>
                      <w:iCs w:val="0"/>
                      <w:color w:val="000000"/>
                      <w:kern w:val="0"/>
                      <w:sz w:val="18"/>
                      <w:szCs w:val="18"/>
                      <w:u w:val="none"/>
                      <w:lang w:val="en-US" w:eastAsia="zh-CN" w:bidi="ar"/>
                    </w:rPr>
                    <w:t>/1</w:t>
                  </w:r>
                </w:p>
              </w:tc>
              <w:tc>
                <w:tcPr>
                  <w:tcW w:w="384" w:type="pct"/>
                  <w:vMerge w:val="continue"/>
                  <w:tcBorders>
                    <w:tl2br w:val="nil"/>
                    <w:tr2bl w:val="nil"/>
                  </w:tcBorders>
                  <w:shd w:val="clear" w:color="auto" w:fill="auto"/>
                  <w:vAlign w:val="center"/>
                </w:tcPr>
                <w:p w14:paraId="366EEE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7702D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65</w:t>
                  </w:r>
                </w:p>
              </w:tc>
              <w:tc>
                <w:tcPr>
                  <w:tcW w:w="384" w:type="pct"/>
                  <w:tcBorders>
                    <w:tl2br w:val="nil"/>
                    <w:tr2bl w:val="nil"/>
                  </w:tcBorders>
                  <w:shd w:val="clear" w:color="auto" w:fill="auto"/>
                  <w:vAlign w:val="center"/>
                </w:tcPr>
                <w:p w14:paraId="2220E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70</w:t>
                  </w:r>
                </w:p>
              </w:tc>
              <w:tc>
                <w:tcPr>
                  <w:tcW w:w="387" w:type="pct"/>
                  <w:tcBorders>
                    <w:tl2br w:val="nil"/>
                    <w:tr2bl w:val="nil"/>
                  </w:tcBorders>
                  <w:shd w:val="clear" w:color="auto" w:fill="auto"/>
                  <w:vAlign w:val="center"/>
                </w:tcPr>
                <w:p w14:paraId="2DDB4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5B5996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384" w:type="pct"/>
                  <w:tcBorders>
                    <w:tl2br w:val="nil"/>
                    <w:tr2bl w:val="nil"/>
                  </w:tcBorders>
                  <w:shd w:val="clear" w:color="auto" w:fill="auto"/>
                  <w:vAlign w:val="center"/>
                </w:tcPr>
                <w:p w14:paraId="3BCF8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全天</w:t>
                  </w:r>
                </w:p>
              </w:tc>
              <w:tc>
                <w:tcPr>
                  <w:tcW w:w="384" w:type="pct"/>
                  <w:tcBorders>
                    <w:tl2br w:val="nil"/>
                    <w:tr2bl w:val="nil"/>
                  </w:tcBorders>
                  <w:shd w:val="clear" w:color="auto" w:fill="auto"/>
                  <w:vAlign w:val="center"/>
                </w:tcPr>
                <w:p w14:paraId="31FFB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988" w:type="dxa"/>
                  <w:tcBorders>
                    <w:tl2br w:val="nil"/>
                    <w:tr2bl w:val="nil"/>
                  </w:tcBorders>
                  <w:shd w:val="clear" w:color="auto" w:fill="auto"/>
                  <w:vAlign w:val="center"/>
                </w:tcPr>
                <w:p w14:paraId="4F1FF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r>
            <w:tr w14:paraId="636A48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08" w:type="pct"/>
                  <w:tcBorders>
                    <w:tl2br w:val="nil"/>
                    <w:tr2bl w:val="nil"/>
                  </w:tcBorders>
                  <w:shd w:val="clear" w:color="auto" w:fill="auto"/>
                  <w:vAlign w:val="center"/>
                </w:tcPr>
                <w:p w14:paraId="433A8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392" w:type="pct"/>
                  <w:vMerge w:val="continue"/>
                  <w:tcBorders>
                    <w:tl2br w:val="nil"/>
                    <w:tr2bl w:val="nil"/>
                  </w:tcBorders>
                  <w:shd w:val="clear" w:color="auto" w:fill="auto"/>
                  <w:vAlign w:val="center"/>
                </w:tcPr>
                <w:p w14:paraId="73130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552" w:type="pct"/>
                  <w:tcBorders>
                    <w:tl2br w:val="nil"/>
                    <w:tr2bl w:val="nil"/>
                  </w:tcBorders>
                  <w:shd w:val="clear" w:color="auto" w:fill="auto"/>
                  <w:vAlign w:val="center"/>
                </w:tcPr>
                <w:p w14:paraId="185D5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返料粉碎机</w:t>
                  </w:r>
                </w:p>
              </w:tc>
              <w:tc>
                <w:tcPr>
                  <w:tcW w:w="384" w:type="pct"/>
                  <w:tcBorders>
                    <w:tl2br w:val="nil"/>
                    <w:tr2bl w:val="nil"/>
                  </w:tcBorders>
                  <w:shd w:val="clear" w:color="auto" w:fill="auto"/>
                  <w:vAlign w:val="center"/>
                </w:tcPr>
                <w:p w14:paraId="7EB1E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7A9045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85</w:t>
                  </w:r>
                  <w:r>
                    <w:rPr>
                      <w:rFonts w:hint="eastAsia" w:ascii="仿宋" w:hAnsi="仿宋" w:cs="仿宋"/>
                      <w:i w:val="0"/>
                      <w:iCs w:val="0"/>
                      <w:color w:val="000000"/>
                      <w:kern w:val="0"/>
                      <w:sz w:val="18"/>
                      <w:szCs w:val="18"/>
                      <w:u w:val="none"/>
                      <w:lang w:val="en-US" w:eastAsia="zh-CN" w:bidi="ar"/>
                    </w:rPr>
                    <w:t>/1</w:t>
                  </w:r>
                </w:p>
              </w:tc>
              <w:tc>
                <w:tcPr>
                  <w:tcW w:w="384" w:type="pct"/>
                  <w:vMerge w:val="continue"/>
                  <w:tcBorders>
                    <w:tl2br w:val="nil"/>
                    <w:tr2bl w:val="nil"/>
                  </w:tcBorders>
                  <w:shd w:val="clear" w:color="auto" w:fill="auto"/>
                  <w:vAlign w:val="center"/>
                </w:tcPr>
                <w:p w14:paraId="4CB2A8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189510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81</w:t>
                  </w:r>
                </w:p>
              </w:tc>
              <w:tc>
                <w:tcPr>
                  <w:tcW w:w="384" w:type="pct"/>
                  <w:tcBorders>
                    <w:tl2br w:val="nil"/>
                    <w:tr2bl w:val="nil"/>
                  </w:tcBorders>
                  <w:shd w:val="clear" w:color="auto" w:fill="auto"/>
                  <w:vAlign w:val="center"/>
                </w:tcPr>
                <w:p w14:paraId="76B53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70</w:t>
                  </w:r>
                </w:p>
              </w:tc>
              <w:tc>
                <w:tcPr>
                  <w:tcW w:w="387" w:type="pct"/>
                  <w:tcBorders>
                    <w:tl2br w:val="nil"/>
                    <w:tr2bl w:val="nil"/>
                  </w:tcBorders>
                  <w:shd w:val="clear" w:color="auto" w:fill="auto"/>
                  <w:vAlign w:val="center"/>
                </w:tcPr>
                <w:p w14:paraId="3C216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603BD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384" w:type="pct"/>
                  <w:tcBorders>
                    <w:tl2br w:val="nil"/>
                    <w:tr2bl w:val="nil"/>
                  </w:tcBorders>
                  <w:shd w:val="clear" w:color="auto" w:fill="auto"/>
                  <w:vAlign w:val="center"/>
                </w:tcPr>
                <w:p w14:paraId="7D6ED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全天</w:t>
                  </w:r>
                </w:p>
              </w:tc>
              <w:tc>
                <w:tcPr>
                  <w:tcW w:w="384" w:type="pct"/>
                  <w:tcBorders>
                    <w:tl2br w:val="nil"/>
                    <w:tr2bl w:val="nil"/>
                  </w:tcBorders>
                  <w:shd w:val="clear" w:color="auto" w:fill="auto"/>
                  <w:vAlign w:val="center"/>
                </w:tcPr>
                <w:p w14:paraId="7F0CA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988" w:type="dxa"/>
                  <w:tcBorders>
                    <w:tl2br w:val="nil"/>
                    <w:tr2bl w:val="nil"/>
                  </w:tcBorders>
                  <w:shd w:val="clear" w:color="auto" w:fill="auto"/>
                  <w:vAlign w:val="center"/>
                </w:tcPr>
                <w:p w14:paraId="38783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r>
            <w:tr w14:paraId="64BC9A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08" w:type="pct"/>
                  <w:tcBorders>
                    <w:tl2br w:val="nil"/>
                    <w:tr2bl w:val="nil"/>
                  </w:tcBorders>
                  <w:shd w:val="clear" w:color="auto" w:fill="auto"/>
                  <w:vAlign w:val="center"/>
                </w:tcPr>
                <w:p w14:paraId="6BEF9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392" w:type="pct"/>
                  <w:vMerge w:val="continue"/>
                  <w:tcBorders>
                    <w:tl2br w:val="nil"/>
                    <w:tr2bl w:val="nil"/>
                  </w:tcBorders>
                  <w:shd w:val="clear" w:color="auto" w:fill="auto"/>
                  <w:vAlign w:val="center"/>
                </w:tcPr>
                <w:p w14:paraId="4DD330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552" w:type="pct"/>
                  <w:tcBorders>
                    <w:tl2br w:val="nil"/>
                    <w:tr2bl w:val="nil"/>
                  </w:tcBorders>
                  <w:shd w:val="clear" w:color="auto" w:fill="auto"/>
                  <w:vAlign w:val="center"/>
                </w:tcPr>
                <w:p w14:paraId="68FC9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全自动包装机</w:t>
                  </w:r>
                </w:p>
              </w:tc>
              <w:tc>
                <w:tcPr>
                  <w:tcW w:w="384" w:type="pct"/>
                  <w:tcBorders>
                    <w:tl2br w:val="nil"/>
                    <w:tr2bl w:val="nil"/>
                  </w:tcBorders>
                  <w:shd w:val="clear" w:color="auto" w:fill="auto"/>
                  <w:vAlign w:val="center"/>
                </w:tcPr>
                <w:p w14:paraId="65406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5A153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70</w:t>
                  </w:r>
                  <w:r>
                    <w:rPr>
                      <w:rFonts w:hint="eastAsia" w:ascii="仿宋" w:hAnsi="仿宋" w:cs="仿宋"/>
                      <w:i w:val="0"/>
                      <w:iCs w:val="0"/>
                      <w:color w:val="000000"/>
                      <w:kern w:val="0"/>
                      <w:sz w:val="18"/>
                      <w:szCs w:val="18"/>
                      <w:u w:val="none"/>
                      <w:lang w:val="en-US" w:eastAsia="zh-CN" w:bidi="ar"/>
                    </w:rPr>
                    <w:t>/1</w:t>
                  </w:r>
                </w:p>
              </w:tc>
              <w:tc>
                <w:tcPr>
                  <w:tcW w:w="384" w:type="pct"/>
                  <w:vMerge w:val="continue"/>
                  <w:tcBorders>
                    <w:tl2br w:val="nil"/>
                    <w:tr2bl w:val="nil"/>
                  </w:tcBorders>
                  <w:shd w:val="clear" w:color="auto" w:fill="auto"/>
                  <w:vAlign w:val="center"/>
                </w:tcPr>
                <w:p w14:paraId="425302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384" w:type="pct"/>
                  <w:tcBorders>
                    <w:tl2br w:val="nil"/>
                    <w:tr2bl w:val="nil"/>
                  </w:tcBorders>
                  <w:shd w:val="clear" w:color="auto" w:fill="auto"/>
                  <w:vAlign w:val="center"/>
                </w:tcPr>
                <w:p w14:paraId="1C6F8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88</w:t>
                  </w:r>
                </w:p>
              </w:tc>
              <w:tc>
                <w:tcPr>
                  <w:tcW w:w="384" w:type="pct"/>
                  <w:tcBorders>
                    <w:tl2br w:val="nil"/>
                    <w:tr2bl w:val="nil"/>
                  </w:tcBorders>
                  <w:shd w:val="clear" w:color="auto" w:fill="auto"/>
                  <w:vAlign w:val="center"/>
                </w:tcPr>
                <w:p w14:paraId="32919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127</w:t>
                  </w:r>
                </w:p>
              </w:tc>
              <w:tc>
                <w:tcPr>
                  <w:tcW w:w="387" w:type="pct"/>
                  <w:tcBorders>
                    <w:tl2br w:val="nil"/>
                    <w:tr2bl w:val="nil"/>
                  </w:tcBorders>
                  <w:shd w:val="clear" w:color="auto" w:fill="auto"/>
                  <w:vAlign w:val="center"/>
                </w:tcPr>
                <w:p w14:paraId="01B9E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384" w:type="pct"/>
                  <w:tcBorders>
                    <w:tl2br w:val="nil"/>
                    <w:tr2bl w:val="nil"/>
                  </w:tcBorders>
                  <w:shd w:val="clear" w:color="auto" w:fill="auto"/>
                  <w:vAlign w:val="center"/>
                </w:tcPr>
                <w:p w14:paraId="4B111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384" w:type="pct"/>
                  <w:tcBorders>
                    <w:tl2br w:val="nil"/>
                    <w:tr2bl w:val="nil"/>
                  </w:tcBorders>
                  <w:shd w:val="clear" w:color="auto" w:fill="auto"/>
                  <w:vAlign w:val="center"/>
                </w:tcPr>
                <w:p w14:paraId="0C8B0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全天</w:t>
                  </w:r>
                </w:p>
              </w:tc>
              <w:tc>
                <w:tcPr>
                  <w:tcW w:w="384" w:type="pct"/>
                  <w:tcBorders>
                    <w:tl2br w:val="nil"/>
                    <w:tr2bl w:val="nil"/>
                  </w:tcBorders>
                  <w:shd w:val="clear" w:color="auto" w:fill="auto"/>
                  <w:vAlign w:val="center"/>
                </w:tcPr>
                <w:p w14:paraId="1A6EF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988" w:type="dxa"/>
                  <w:tcBorders>
                    <w:tl2br w:val="nil"/>
                    <w:tr2bl w:val="nil"/>
                  </w:tcBorders>
                  <w:shd w:val="clear" w:color="auto" w:fill="auto"/>
                  <w:vAlign w:val="center"/>
                </w:tcPr>
                <w:p w14:paraId="22A707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r>
          </w:tbl>
          <w:p w14:paraId="4FB1358E">
            <w:pPr>
              <w:pStyle w:val="28"/>
              <w:spacing w:before="0" w:beforeAutospacing="0" w:after="0" w:afterAutospacing="0"/>
              <w:jc w:val="both"/>
              <w:outlineLvl w:val="0"/>
              <w:rPr>
                <w:rFonts w:hint="eastAsia" w:ascii="仿宋" w:hAnsi="仿宋" w:eastAsia="仿宋" w:cs="仿宋"/>
                <w:b/>
                <w:bCs/>
                <w:color w:val="auto"/>
                <w:sz w:val="21"/>
                <w:szCs w:val="21"/>
              </w:rPr>
            </w:pPr>
            <w:r>
              <w:rPr>
                <w:rFonts w:hint="eastAsia" w:ascii="仿宋" w:hAnsi="仿宋" w:eastAsia="仿宋" w:cs="仿宋"/>
                <w:b/>
                <w:bCs/>
                <w:color w:val="auto"/>
                <w:sz w:val="21"/>
                <w:szCs w:val="21"/>
              </w:rPr>
              <w:t>注：以厂区左下角顶点为（0</w:t>
            </w:r>
            <w:r>
              <w:rPr>
                <w:rFonts w:hint="eastAsia" w:ascii="仿宋" w:hAnsi="仿宋" w:eastAsia="仿宋" w:cs="仿宋"/>
                <w:b/>
                <w:bCs/>
                <w:color w:val="auto"/>
                <w:sz w:val="21"/>
                <w:szCs w:val="21"/>
                <w:lang w:eastAsia="zh-CN"/>
              </w:rPr>
              <w:t>，</w:t>
            </w:r>
            <w:r>
              <w:rPr>
                <w:rFonts w:hint="eastAsia" w:ascii="仿宋" w:hAnsi="仿宋" w:eastAsia="仿宋" w:cs="仿宋"/>
                <w:b/>
                <w:bCs/>
                <w:color w:val="auto"/>
                <w:sz w:val="21"/>
                <w:szCs w:val="21"/>
              </w:rPr>
              <w:t>0）。</w:t>
            </w:r>
          </w:p>
          <w:p w14:paraId="466FCB48">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表</w:t>
            </w:r>
            <w:r>
              <w:rPr>
                <w:rFonts w:hint="eastAsia" w:ascii="仿宋" w:hAnsi="仿宋" w:eastAsia="仿宋" w:cs="仿宋"/>
                <w:b/>
                <w:bCs/>
                <w:color w:val="auto"/>
                <w:kern w:val="0"/>
                <w:sz w:val="21"/>
                <w:szCs w:val="21"/>
                <w:lang w:val="en-US"/>
              </w:rPr>
              <w:t>4-</w:t>
            </w:r>
            <w:r>
              <w:rPr>
                <w:rFonts w:hint="eastAsia" w:ascii="仿宋" w:hAnsi="仿宋" w:eastAsia="仿宋" w:cs="仿宋"/>
                <w:b/>
                <w:bCs/>
                <w:color w:val="auto"/>
                <w:kern w:val="0"/>
                <w:sz w:val="21"/>
                <w:szCs w:val="21"/>
                <w:lang w:val="en-US" w:eastAsia="zh-CN"/>
              </w:rPr>
              <w:t xml:space="preserve">16 </w:t>
            </w:r>
            <w:r>
              <w:rPr>
                <w:rFonts w:hint="eastAsia" w:ascii="仿宋" w:hAnsi="仿宋" w:eastAsia="仿宋" w:cs="仿宋"/>
                <w:b/>
                <w:bCs/>
                <w:color w:val="auto"/>
                <w:kern w:val="0"/>
                <w:sz w:val="21"/>
                <w:szCs w:val="21"/>
              </w:rPr>
              <w:t xml:space="preserve"> 项目</w:t>
            </w:r>
            <w:r>
              <w:rPr>
                <w:rFonts w:hint="eastAsia" w:ascii="仿宋" w:hAnsi="仿宋" w:eastAsia="仿宋" w:cs="仿宋"/>
                <w:b/>
                <w:bCs/>
                <w:color w:val="auto"/>
                <w:kern w:val="0"/>
                <w:sz w:val="21"/>
                <w:szCs w:val="21"/>
                <w:lang w:val="en-US" w:eastAsia="zh-CN"/>
              </w:rPr>
              <w:t>厂房外</w:t>
            </w:r>
            <w:r>
              <w:rPr>
                <w:rFonts w:hint="eastAsia" w:ascii="仿宋" w:hAnsi="仿宋" w:eastAsia="仿宋" w:cs="仿宋"/>
                <w:b/>
                <w:bCs/>
                <w:color w:val="auto"/>
                <w:kern w:val="0"/>
                <w:sz w:val="21"/>
                <w:szCs w:val="21"/>
              </w:rPr>
              <w:t>主要噪声源强及排放情况</w:t>
            </w:r>
          </w:p>
          <w:tbl>
            <w:tblPr>
              <w:tblStyle w:val="95"/>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62"/>
              <w:gridCol w:w="2906"/>
              <w:gridCol w:w="3459"/>
              <w:gridCol w:w="3042"/>
              <w:gridCol w:w="1974"/>
            </w:tblGrid>
            <w:tr w14:paraId="1DF489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69" w:type="pct"/>
                  <w:tcBorders>
                    <w:tl2br w:val="nil"/>
                    <w:tr2bl w:val="nil"/>
                  </w:tcBorders>
                  <w:vAlign w:val="center"/>
                </w:tcPr>
                <w:p w14:paraId="1CBA511D">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pacing w:val="-6"/>
                      <w:sz w:val="21"/>
                      <w:szCs w:val="21"/>
                      <w:highlight w:val="none"/>
                    </w:rPr>
                    <w:t>序号</w:t>
                  </w:r>
                </w:p>
              </w:tc>
              <w:tc>
                <w:tcPr>
                  <w:tcW w:w="1131" w:type="pct"/>
                  <w:tcBorders>
                    <w:tl2br w:val="nil"/>
                    <w:tr2bl w:val="nil"/>
                  </w:tcBorders>
                  <w:vAlign w:val="center"/>
                </w:tcPr>
                <w:p w14:paraId="463007CB">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pacing w:val="-9"/>
                      <w:sz w:val="21"/>
                      <w:szCs w:val="21"/>
                      <w:highlight w:val="none"/>
                    </w:rPr>
                    <w:t>声源名称</w:t>
                  </w:r>
                </w:p>
              </w:tc>
              <w:tc>
                <w:tcPr>
                  <w:tcW w:w="1346" w:type="pct"/>
                  <w:tcBorders>
                    <w:tl2br w:val="nil"/>
                    <w:tr2bl w:val="nil"/>
                  </w:tcBorders>
                  <w:vAlign w:val="center"/>
                </w:tcPr>
                <w:p w14:paraId="4899B200">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pacing w:val="-8"/>
                      <w:sz w:val="21"/>
                      <w:szCs w:val="21"/>
                      <w:highlight w:val="none"/>
                    </w:rPr>
                    <w:t>声压级/距声源距离/（dB（A）/m）</w:t>
                  </w:r>
                </w:p>
              </w:tc>
              <w:tc>
                <w:tcPr>
                  <w:tcW w:w="1184" w:type="pct"/>
                  <w:tcBorders>
                    <w:tl2br w:val="nil"/>
                    <w:tr2bl w:val="nil"/>
                  </w:tcBorders>
                  <w:vAlign w:val="center"/>
                </w:tcPr>
                <w:p w14:paraId="7F73B6BE">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pacing w:val="-9"/>
                      <w:sz w:val="21"/>
                      <w:szCs w:val="21"/>
                      <w:highlight w:val="none"/>
                    </w:rPr>
                    <w:t>声源控制措施</w:t>
                  </w:r>
                </w:p>
              </w:tc>
              <w:tc>
                <w:tcPr>
                  <w:tcW w:w="768" w:type="pct"/>
                  <w:tcBorders>
                    <w:tl2br w:val="nil"/>
                    <w:tr2bl w:val="nil"/>
                  </w:tcBorders>
                  <w:vAlign w:val="center"/>
                </w:tcPr>
                <w:p w14:paraId="1C1B96AC">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pacing w:val="-8"/>
                      <w:sz w:val="21"/>
                      <w:szCs w:val="21"/>
                      <w:highlight w:val="none"/>
                    </w:rPr>
                    <w:t>运行时段</w:t>
                  </w:r>
                </w:p>
              </w:tc>
            </w:tr>
            <w:tr w14:paraId="3393BD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69" w:type="pct"/>
                  <w:tcBorders>
                    <w:tl2br w:val="nil"/>
                    <w:tr2bl w:val="nil"/>
                  </w:tcBorders>
                  <w:vAlign w:val="center"/>
                </w:tcPr>
                <w:p w14:paraId="534ECC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131" w:type="pct"/>
                  <w:tcBorders>
                    <w:tl2br w:val="nil"/>
                    <w:tr2bl w:val="nil"/>
                  </w:tcBorders>
                  <w:vAlign w:val="center"/>
                </w:tcPr>
                <w:p w14:paraId="00B89C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lang w:val="en-US" w:eastAsia="zh-CN" w:bidi="ar-SA"/>
                    </w:rPr>
                    <w:t>1#风机</w:t>
                  </w:r>
                </w:p>
              </w:tc>
              <w:tc>
                <w:tcPr>
                  <w:tcW w:w="1346" w:type="pct"/>
                  <w:tcBorders>
                    <w:tl2br w:val="nil"/>
                    <w:tr2bl w:val="nil"/>
                  </w:tcBorders>
                  <w:vAlign w:val="center"/>
                </w:tcPr>
                <w:p w14:paraId="5D7D70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85/1</w:t>
                  </w:r>
                </w:p>
              </w:tc>
              <w:tc>
                <w:tcPr>
                  <w:tcW w:w="1184" w:type="pct"/>
                  <w:vMerge w:val="restart"/>
                  <w:tcBorders>
                    <w:tl2br w:val="nil"/>
                    <w:tr2bl w:val="nil"/>
                  </w:tcBorders>
                  <w:vAlign w:val="center"/>
                </w:tcPr>
                <w:p w14:paraId="31B36160">
                  <w:pPr>
                    <w:pStyle w:val="1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0"/>
                      <w:sz w:val="21"/>
                      <w:szCs w:val="21"/>
                      <w:highlight w:val="none"/>
                    </w:rPr>
                    <w:t>设置基</w:t>
                  </w:r>
                  <w:r>
                    <w:rPr>
                      <w:rFonts w:hint="eastAsia" w:ascii="仿宋" w:hAnsi="仿宋" w:eastAsia="仿宋" w:cs="仿宋"/>
                      <w:color w:val="auto"/>
                      <w:spacing w:val="-7"/>
                      <w:sz w:val="21"/>
                      <w:szCs w:val="21"/>
                      <w:highlight w:val="none"/>
                    </w:rPr>
                    <w:t>础减震措施</w:t>
                  </w:r>
                  <w:r>
                    <w:rPr>
                      <w:rFonts w:hint="eastAsia" w:ascii="仿宋" w:hAnsi="仿宋" w:eastAsia="仿宋" w:cs="仿宋"/>
                      <w:color w:val="auto"/>
                      <w:spacing w:val="-7"/>
                      <w:sz w:val="21"/>
                      <w:szCs w:val="21"/>
                      <w:highlight w:val="none"/>
                      <w:lang w:eastAsia="zh-CN"/>
                    </w:rPr>
                    <w:t>，</w:t>
                  </w:r>
                  <w:r>
                    <w:rPr>
                      <w:rFonts w:hint="eastAsia" w:ascii="仿宋" w:hAnsi="仿宋" w:eastAsia="仿宋" w:cs="仿宋"/>
                      <w:color w:val="auto"/>
                      <w:spacing w:val="-7"/>
                      <w:sz w:val="21"/>
                      <w:szCs w:val="21"/>
                      <w:highlight w:val="none"/>
                      <w:lang w:val="en-US" w:eastAsia="zh-CN"/>
                    </w:rPr>
                    <w:t>消声器</w:t>
                  </w:r>
                </w:p>
              </w:tc>
              <w:tc>
                <w:tcPr>
                  <w:tcW w:w="768" w:type="pct"/>
                  <w:tcBorders>
                    <w:tl2br w:val="nil"/>
                    <w:tr2bl w:val="nil"/>
                  </w:tcBorders>
                  <w:vAlign w:val="center"/>
                </w:tcPr>
                <w:p w14:paraId="42C5FF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5"/>
                      <w:sz w:val="21"/>
                      <w:szCs w:val="21"/>
                      <w:highlight w:val="none"/>
                      <w:lang w:val="en-US" w:eastAsia="zh-CN"/>
                    </w:rPr>
                  </w:pPr>
                  <w:r>
                    <w:rPr>
                      <w:rFonts w:hint="eastAsia" w:ascii="仿宋" w:hAnsi="仿宋" w:eastAsia="仿宋" w:cs="仿宋"/>
                      <w:color w:val="auto"/>
                      <w:spacing w:val="-5"/>
                      <w:sz w:val="21"/>
                      <w:szCs w:val="21"/>
                      <w:highlight w:val="none"/>
                      <w:lang w:val="en-US" w:eastAsia="zh-CN"/>
                    </w:rPr>
                    <w:t>全天</w:t>
                  </w:r>
                </w:p>
              </w:tc>
            </w:tr>
            <w:tr w14:paraId="704DFC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69" w:type="pct"/>
                  <w:tcBorders>
                    <w:tl2br w:val="nil"/>
                    <w:tr2bl w:val="nil"/>
                  </w:tcBorders>
                  <w:vAlign w:val="center"/>
                </w:tcPr>
                <w:p w14:paraId="1D839E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131" w:type="pct"/>
                  <w:tcBorders>
                    <w:tl2br w:val="nil"/>
                    <w:tr2bl w:val="nil"/>
                  </w:tcBorders>
                  <w:vAlign w:val="center"/>
                </w:tcPr>
                <w:p w14:paraId="49063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lang w:val="en-US" w:eastAsia="zh-CN" w:bidi="ar-SA"/>
                    </w:rPr>
                    <w:t>2#风机</w:t>
                  </w:r>
                </w:p>
              </w:tc>
              <w:tc>
                <w:tcPr>
                  <w:tcW w:w="1346" w:type="pct"/>
                  <w:tcBorders>
                    <w:tl2br w:val="nil"/>
                    <w:tr2bl w:val="nil"/>
                  </w:tcBorders>
                  <w:vAlign w:val="center"/>
                </w:tcPr>
                <w:p w14:paraId="278351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85/1</w:t>
                  </w:r>
                </w:p>
              </w:tc>
              <w:tc>
                <w:tcPr>
                  <w:tcW w:w="1184" w:type="pct"/>
                  <w:vMerge w:val="continue"/>
                  <w:tcBorders>
                    <w:tl2br w:val="nil"/>
                    <w:tr2bl w:val="nil"/>
                  </w:tcBorders>
                  <w:vAlign w:val="center"/>
                </w:tcPr>
                <w:p w14:paraId="7C9498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1"/>
                      <w:szCs w:val="21"/>
                      <w:highlight w:val="none"/>
                    </w:rPr>
                  </w:pPr>
                </w:p>
              </w:tc>
              <w:tc>
                <w:tcPr>
                  <w:tcW w:w="768" w:type="pct"/>
                  <w:tcBorders>
                    <w:tl2br w:val="nil"/>
                    <w:tr2bl w:val="nil"/>
                  </w:tcBorders>
                  <w:vAlign w:val="center"/>
                </w:tcPr>
                <w:p w14:paraId="64B4C5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pacing w:val="-5"/>
                      <w:sz w:val="21"/>
                      <w:szCs w:val="21"/>
                      <w:highlight w:val="none"/>
                    </w:rPr>
                  </w:pPr>
                  <w:r>
                    <w:rPr>
                      <w:rFonts w:hint="eastAsia" w:ascii="仿宋" w:hAnsi="仿宋" w:eastAsia="仿宋" w:cs="仿宋"/>
                      <w:color w:val="auto"/>
                      <w:spacing w:val="-5"/>
                      <w:sz w:val="21"/>
                      <w:szCs w:val="21"/>
                      <w:highlight w:val="none"/>
                      <w:lang w:val="en-US" w:eastAsia="zh-CN"/>
                    </w:rPr>
                    <w:t>全天</w:t>
                  </w:r>
                </w:p>
              </w:tc>
            </w:tr>
          </w:tbl>
          <w:p w14:paraId="389852F5">
            <w:pPr>
              <w:pStyle w:val="28"/>
              <w:spacing w:before="0" w:beforeAutospacing="0" w:after="0" w:afterAutospacing="0"/>
              <w:jc w:val="both"/>
              <w:outlineLvl w:val="0"/>
              <w:rPr>
                <w:rFonts w:hint="eastAsia" w:ascii="仿宋" w:hAnsi="仿宋" w:eastAsia="仿宋" w:cs="仿宋"/>
                <w:b/>
                <w:bCs/>
                <w:color w:val="auto"/>
                <w:sz w:val="21"/>
                <w:szCs w:val="21"/>
              </w:rPr>
            </w:pPr>
          </w:p>
        </w:tc>
      </w:tr>
    </w:tbl>
    <w:p w14:paraId="7C7B0F83">
      <w:pPr>
        <w:pStyle w:val="28"/>
        <w:spacing w:before="0" w:beforeAutospacing="0" w:after="0" w:afterAutospacing="0"/>
        <w:jc w:val="both"/>
        <w:outlineLvl w:val="0"/>
        <w:rPr>
          <w:rFonts w:hint="eastAsia" w:ascii="仿宋" w:hAnsi="仿宋" w:eastAsia="仿宋" w:cs="仿宋"/>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8461"/>
      </w:tblGrid>
      <w:tr w14:paraId="6FE9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6" w:hRule="atLeast"/>
        </w:trPr>
        <w:tc>
          <w:tcPr>
            <w:tcW w:w="599" w:type="dxa"/>
          </w:tcPr>
          <w:p w14:paraId="08F542C5">
            <w:pPr>
              <w:pStyle w:val="28"/>
              <w:spacing w:before="0" w:beforeAutospacing="0" w:after="0" w:afterAutospacing="0"/>
              <w:jc w:val="both"/>
              <w:outlineLvl w:val="0"/>
              <w:rPr>
                <w:rFonts w:hint="eastAsia" w:ascii="仿宋" w:hAnsi="仿宋" w:eastAsia="仿宋" w:cs="仿宋"/>
                <w:snapToGrid w:val="0"/>
                <w:color w:val="auto"/>
                <w:sz w:val="30"/>
                <w:szCs w:val="30"/>
                <w:vertAlign w:val="baseline"/>
              </w:rPr>
            </w:pPr>
          </w:p>
        </w:tc>
        <w:tc>
          <w:tcPr>
            <w:tcW w:w="8461" w:type="dxa"/>
          </w:tcPr>
          <w:p w14:paraId="1B63EE7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2、预测模式</w:t>
            </w:r>
          </w:p>
          <w:p w14:paraId="3514E678">
            <w:pPr>
              <w:spacing w:line="360" w:lineRule="auto"/>
              <w:ind w:firstLine="482"/>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根据声环境评价导则的规定，选用预测模式，应用过程中将根据具体情况作必要简化。</w:t>
            </w:r>
          </w:p>
          <w:p w14:paraId="60ADE62B">
            <w:pPr>
              <w:widowControl w:val="0"/>
              <w:spacing w:line="360" w:lineRule="auto"/>
              <w:ind w:firstLine="570"/>
              <w:jc w:val="both"/>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本次环境噪声影响预测采用《环境影响评价技术导则 声环境》(HJ2.4-2021)中推荐的噪声预测模式，主要对本项目噪声源对厂界的影响进行预测。</w:t>
            </w:r>
          </w:p>
          <w:p w14:paraId="05BA07A5">
            <w:pPr>
              <w:widowControl w:val="0"/>
              <w:spacing w:line="360" w:lineRule="auto"/>
              <w:ind w:firstLine="570"/>
              <w:jc w:val="both"/>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（1）室外声源预测模式</w:t>
            </w:r>
          </w:p>
          <w:p w14:paraId="1C448B32">
            <w:pPr>
              <w:widowControl w:val="0"/>
              <w:spacing w:line="360" w:lineRule="auto"/>
              <w:ind w:firstLine="570"/>
              <w:jc w:val="both"/>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户外传播声级衰减计算模式按下面公式进行计算。</w:t>
            </w:r>
          </w:p>
          <w:p w14:paraId="6C90287D">
            <w:pPr>
              <w:widowControl w:val="0"/>
              <w:spacing w:line="360" w:lineRule="auto"/>
              <w:ind w:left="0" w:leftChars="0" w:right="0" w:rightChars="0" w:firstLine="0" w:firstLineChars="0"/>
              <w:jc w:val="center"/>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drawing>
                <wp:inline distT="0" distB="0" distL="114300" distR="114300">
                  <wp:extent cx="1647825" cy="228600"/>
                  <wp:effectExtent l="0" t="0" r="952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3"/>
                          <a:stretch>
                            <a:fillRect/>
                          </a:stretch>
                        </pic:blipFill>
                        <pic:spPr>
                          <a:xfrm>
                            <a:off x="0" y="0"/>
                            <a:ext cx="1647825" cy="228600"/>
                          </a:xfrm>
                          <a:prstGeom prst="rect">
                            <a:avLst/>
                          </a:prstGeom>
                          <a:noFill/>
                          <a:ln>
                            <a:noFill/>
                          </a:ln>
                        </pic:spPr>
                      </pic:pic>
                    </a:graphicData>
                  </a:graphic>
                </wp:inline>
              </w:drawing>
            </w:r>
          </w:p>
          <w:p w14:paraId="7D7CCE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式中：LA(r0) ——参考点A声压级；</w:t>
            </w:r>
          </w:p>
          <w:p w14:paraId="6FA8B4B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r —— 预测点距离，m；</w:t>
            </w:r>
          </w:p>
          <w:p w14:paraId="19141D3B">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r0 —— 参考点距离，m；</w:t>
            </w:r>
          </w:p>
          <w:p w14:paraId="7FE84E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（2）室内声源预测模式</w:t>
            </w:r>
          </w:p>
          <w:p w14:paraId="788901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噪声由室内传播到室外时，建筑物墙面相当于一个面声源。面声源衰减规律如下：当预测点和面声源中心距离r处于以下条件时，可按下述方法近似计算：r&lt;a/π时，几乎不衰减(Adiv≈0)；当a/π&lt;r&lt;b/π，距离加倍衰减 3dB左右，类似线声源衰减特性(Adiv≈10lg(r/r0))；当r&gt;b/π 时，距离加倍衰减趋近于 6dB，类似点声源衰减特性(Adiv≈20lg(r/r0))。其中面声源的 b&gt;a。图中虚线为实际衰减量。</w:t>
            </w:r>
          </w:p>
          <w:p w14:paraId="0006749C">
            <w:pPr>
              <w:widowControl w:val="0"/>
              <w:spacing w:line="360" w:lineRule="auto"/>
              <w:ind w:firstLine="570"/>
              <w:jc w:val="center"/>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drawing>
                <wp:inline distT="0" distB="0" distL="114300" distR="114300">
                  <wp:extent cx="3298825" cy="2438400"/>
                  <wp:effectExtent l="0" t="0" r="15875" b="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4"/>
                          <a:stretch>
                            <a:fillRect/>
                          </a:stretch>
                        </pic:blipFill>
                        <pic:spPr>
                          <a:xfrm>
                            <a:off x="0" y="0"/>
                            <a:ext cx="3298825" cy="2438400"/>
                          </a:xfrm>
                          <a:prstGeom prst="rect">
                            <a:avLst/>
                          </a:prstGeom>
                          <a:noFill/>
                          <a:ln>
                            <a:noFill/>
                          </a:ln>
                        </pic:spPr>
                      </pic:pic>
                    </a:graphicData>
                  </a:graphic>
                </wp:inline>
              </w:drawing>
            </w:r>
          </w:p>
          <w:p w14:paraId="4EB72D91">
            <w:pPr>
              <w:pStyle w:val="114"/>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bCs/>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图4-4  长方形面声源中心轴线上的衰减特性</w:t>
            </w:r>
          </w:p>
          <w:p w14:paraId="3E2EC6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① 当r&lt;a/π时</w:t>
            </w:r>
          </w:p>
          <w:p w14:paraId="1C1DE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声压级几乎不衰减，r处的声压级按下式计算：</w:t>
            </w:r>
          </w:p>
          <w:p w14:paraId="1B2C49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LA(r) = LA(r0)</w:t>
            </w:r>
          </w:p>
          <w:p w14:paraId="380F23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② 当a/π&lt;r&lt;b/π时</w:t>
            </w:r>
          </w:p>
          <w:p w14:paraId="13A469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声压级随着距离加倍衰减3dB左右，类似线声源衰减特性，r处的声压级按下式计算：</w:t>
            </w:r>
          </w:p>
          <w:p w14:paraId="2FF7DE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LA(r) = LA(r0) - 10lg ((r-a/π)/r0)</w:t>
            </w:r>
          </w:p>
          <w:p w14:paraId="5610B0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③当r&gt;b/π时</w:t>
            </w:r>
          </w:p>
          <w:p w14:paraId="73F0ED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声压级随着距离加倍衰减趋近于6dB，类似点声源衰减特性，r处的声压级按下式计算：</w:t>
            </w:r>
          </w:p>
          <w:p w14:paraId="7FD77EA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LA(r) = LA(r0) - 20lg ((r-b/π)/r0)</w:t>
            </w:r>
          </w:p>
          <w:p w14:paraId="6A0122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(3)预测点的等效声级贡献值</w:t>
            </w:r>
          </w:p>
          <w:p w14:paraId="1C76B7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第i个室外声源在预测点产生的A声级为LAi，在T时间内该声源工作时间为ti；第j个等效室外声源在预测点产生的 A声级为LAj，拟建工程声源对预测点产生的贡献值(Leqg)为：</w:t>
            </w:r>
          </w:p>
          <w:p w14:paraId="0F7B4E58">
            <w:pPr>
              <w:widowControl w:val="0"/>
              <w:spacing w:line="360" w:lineRule="auto"/>
              <w:ind w:firstLine="570"/>
              <w:jc w:val="both"/>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 xml:space="preserve">      </w:t>
            </w:r>
            <w:r>
              <w:rPr>
                <w:rFonts w:hint="eastAsia" w:ascii="仿宋" w:hAnsi="仿宋" w:eastAsia="仿宋" w:cs="仿宋"/>
                <w:b w:val="0"/>
                <w:bCs/>
                <w:color w:val="auto"/>
                <w:kern w:val="2"/>
                <w:sz w:val="24"/>
                <w:szCs w:val="24"/>
                <w:highlight w:val="none"/>
                <w:u w:val="none"/>
                <w:lang w:val="en-US" w:eastAsia="zh-CN" w:bidi="ar-SA"/>
              </w:rPr>
              <w:drawing>
                <wp:inline distT="0" distB="0" distL="114300" distR="114300">
                  <wp:extent cx="2891155" cy="564515"/>
                  <wp:effectExtent l="0" t="0" r="4445" b="698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5"/>
                          <a:stretch>
                            <a:fillRect/>
                          </a:stretch>
                        </pic:blipFill>
                        <pic:spPr>
                          <a:xfrm>
                            <a:off x="0" y="0"/>
                            <a:ext cx="2891155" cy="564515"/>
                          </a:xfrm>
                          <a:prstGeom prst="rect">
                            <a:avLst/>
                          </a:prstGeom>
                          <a:noFill/>
                          <a:ln>
                            <a:noFill/>
                          </a:ln>
                        </pic:spPr>
                      </pic:pic>
                    </a:graphicData>
                  </a:graphic>
                </wp:inline>
              </w:drawing>
            </w:r>
            <w:r>
              <w:rPr>
                <w:rFonts w:hint="eastAsia" w:ascii="仿宋" w:hAnsi="仿宋" w:eastAsia="仿宋" w:cs="仿宋"/>
                <w:b w:val="0"/>
                <w:bCs/>
                <w:color w:val="auto"/>
                <w:kern w:val="2"/>
                <w:sz w:val="24"/>
                <w:szCs w:val="24"/>
                <w:highlight w:val="none"/>
                <w:u w:val="none"/>
                <w:lang w:val="en-US" w:eastAsia="zh-CN" w:bidi="ar-SA"/>
              </w:rPr>
              <w:t xml:space="preserve">     </w:t>
            </w:r>
          </w:p>
          <w:p w14:paraId="69AC81F0">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式中：Leqg ——建设项目声源在预测点的等效声级贡献值，dB(A)；</w:t>
            </w:r>
          </w:p>
          <w:p w14:paraId="79BBA79C">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drawing>
                <wp:inline distT="0" distB="0" distL="114300" distR="114300">
                  <wp:extent cx="382905" cy="240030"/>
                  <wp:effectExtent l="0" t="0" r="0"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16"/>
                          <a:stretch>
                            <a:fillRect/>
                          </a:stretch>
                        </pic:blipFill>
                        <pic:spPr>
                          <a:xfrm>
                            <a:off x="0" y="0"/>
                            <a:ext cx="382905" cy="240030"/>
                          </a:xfrm>
                          <a:prstGeom prst="rect">
                            <a:avLst/>
                          </a:prstGeom>
                          <a:noFill/>
                          <a:ln>
                            <a:noFill/>
                          </a:ln>
                        </pic:spPr>
                      </pic:pic>
                    </a:graphicData>
                  </a:graphic>
                </wp:inline>
              </w:drawing>
            </w:r>
            <w:r>
              <w:rPr>
                <w:rFonts w:hint="eastAsia" w:ascii="仿宋" w:hAnsi="仿宋" w:eastAsia="仿宋" w:cs="仿宋"/>
                <w:b w:val="0"/>
                <w:bCs/>
                <w:color w:val="auto"/>
                <w:kern w:val="2"/>
                <w:sz w:val="24"/>
                <w:szCs w:val="24"/>
                <w:highlight w:val="none"/>
                <w:u w:val="none"/>
                <w:lang w:val="en-US" w:eastAsia="zh-CN" w:bidi="ar-SA"/>
              </w:rPr>
              <w:t>——i声源在预测点产生的A声级，dB(A)；</w:t>
            </w:r>
          </w:p>
          <w:p w14:paraId="65440216">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drawing>
                <wp:inline distT="0" distB="0" distL="114300" distR="114300">
                  <wp:extent cx="215265" cy="270510"/>
                  <wp:effectExtent l="0" t="0" r="0" b="15875"/>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17"/>
                          <a:stretch>
                            <a:fillRect/>
                          </a:stretch>
                        </pic:blipFill>
                        <pic:spPr>
                          <a:xfrm>
                            <a:off x="0" y="0"/>
                            <a:ext cx="215265" cy="270510"/>
                          </a:xfrm>
                          <a:prstGeom prst="rect">
                            <a:avLst/>
                          </a:prstGeom>
                          <a:noFill/>
                          <a:ln>
                            <a:noFill/>
                          </a:ln>
                        </pic:spPr>
                      </pic:pic>
                    </a:graphicData>
                  </a:graphic>
                </wp:inline>
              </w:drawing>
            </w:r>
            <w:r>
              <w:rPr>
                <w:rFonts w:hint="eastAsia" w:ascii="仿宋" w:hAnsi="仿宋" w:eastAsia="仿宋" w:cs="仿宋"/>
                <w:b w:val="0"/>
                <w:bCs/>
                <w:color w:val="auto"/>
                <w:kern w:val="2"/>
                <w:sz w:val="24"/>
                <w:szCs w:val="24"/>
                <w:highlight w:val="none"/>
                <w:u w:val="none"/>
                <w:lang w:val="en-US" w:eastAsia="zh-CN" w:bidi="ar-SA"/>
              </w:rPr>
              <w:t>——i声源在T时间段内的运行时间，S；</w:t>
            </w:r>
          </w:p>
          <w:p w14:paraId="5D1ABE7F">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tj ——在 T 时间内 j 声源工作时间，s；</w:t>
            </w:r>
          </w:p>
          <w:p w14:paraId="7124907D">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 xml:space="preserve">ti ——在 T 时间内 i 声源工作时间，s； </w:t>
            </w:r>
          </w:p>
          <w:p w14:paraId="061D394D">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 xml:space="preserve">T ——用于计算等效声级的时间，s； </w:t>
            </w:r>
          </w:p>
          <w:p w14:paraId="7AB9EF72">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b w:val="0"/>
                <w:bCs/>
                <w:color w:val="auto"/>
                <w:kern w:val="2"/>
                <w:sz w:val="24"/>
                <w:szCs w:val="24"/>
                <w:highlight w:val="none"/>
                <w:u w:val="none"/>
                <w:lang w:val="en-US" w:eastAsia="zh-CN" w:bidi="ar-SA"/>
              </w:rPr>
            </w:pPr>
            <w:r>
              <w:rPr>
                <w:rFonts w:hint="eastAsia" w:ascii="仿宋" w:hAnsi="仿宋" w:eastAsia="仿宋" w:cs="仿宋"/>
                <w:b w:val="0"/>
                <w:bCs/>
                <w:color w:val="auto"/>
                <w:kern w:val="2"/>
                <w:sz w:val="24"/>
                <w:szCs w:val="24"/>
                <w:highlight w:val="none"/>
                <w:u w:val="none"/>
                <w:lang w:val="en-US" w:eastAsia="zh-CN" w:bidi="ar-SA"/>
              </w:rPr>
              <w:t xml:space="preserve">N ——室外声源个数； </w:t>
            </w:r>
          </w:p>
          <w:p w14:paraId="32C8FAD4">
            <w:pPr>
              <w:keepNext w:val="0"/>
              <w:keepLines w:val="0"/>
              <w:pageBreakBefore w:val="0"/>
              <w:widowControl w:val="0"/>
              <w:kinsoku/>
              <w:wordWrap/>
              <w:overflowPunct/>
              <w:topLinePunct w:val="0"/>
              <w:autoSpaceDE/>
              <w:autoSpaceDN/>
              <w:bidi w:val="0"/>
              <w:adjustRightInd/>
              <w:snapToGrid/>
              <w:spacing w:line="336" w:lineRule="auto"/>
              <w:ind w:firstLine="1200" w:firstLineChars="500"/>
              <w:jc w:val="both"/>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val="0"/>
                <w:bCs/>
                <w:color w:val="auto"/>
                <w:kern w:val="2"/>
                <w:sz w:val="24"/>
                <w:szCs w:val="24"/>
                <w:highlight w:val="none"/>
                <w:u w:val="none"/>
                <w:lang w:val="en-US" w:eastAsia="zh-CN" w:bidi="ar-SA"/>
              </w:rPr>
              <w:t>M ——等效室外声源个数。</w:t>
            </w:r>
          </w:p>
          <w:p w14:paraId="3D743A2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3、预测结果</w:t>
            </w:r>
          </w:p>
          <w:p w14:paraId="61A24655">
            <w:pPr>
              <w:pStyle w:val="124"/>
              <w:bidi w:val="0"/>
              <w:spacing w:line="24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表</w:t>
            </w:r>
            <w:r>
              <w:rPr>
                <w:rFonts w:hint="eastAsia" w:ascii="仿宋" w:hAnsi="仿宋" w:eastAsia="仿宋" w:cs="仿宋"/>
                <w:color w:val="000000" w:themeColor="text1"/>
                <w:lang w:val="en-US" w:eastAsia="zh-CN"/>
                <w14:textFill>
                  <w14:solidFill>
                    <w14:schemeClr w14:val="tx1"/>
                  </w14:solidFill>
                </w14:textFill>
              </w:rPr>
              <w:t xml:space="preserve">4-16  </w:t>
            </w:r>
            <w:r>
              <w:rPr>
                <w:rFonts w:hint="eastAsia" w:ascii="仿宋" w:hAnsi="仿宋" w:eastAsia="仿宋" w:cs="仿宋"/>
                <w:color w:val="000000" w:themeColor="text1"/>
                <w14:textFill>
                  <w14:solidFill>
                    <w14:schemeClr w14:val="tx1"/>
                  </w14:solidFill>
                </w14:textFill>
              </w:rPr>
              <w:t>环境噪声预测结果单位：dB（A）</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2830"/>
              <w:gridCol w:w="1426"/>
              <w:gridCol w:w="1427"/>
            </w:tblGrid>
            <w:tr w14:paraId="65192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vMerge w:val="restart"/>
                  <w:tcBorders>
                    <w:tl2br w:val="nil"/>
                    <w:tr2bl w:val="nil"/>
                  </w:tcBorders>
                  <w:vAlign w:val="center"/>
                </w:tcPr>
                <w:p w14:paraId="3E3D2983">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预测点位</w:t>
                  </w:r>
                </w:p>
              </w:tc>
              <w:tc>
                <w:tcPr>
                  <w:tcW w:w="1716" w:type="pct"/>
                  <w:vMerge w:val="restart"/>
                  <w:tcBorders>
                    <w:tl2br w:val="nil"/>
                    <w:tr2bl w:val="nil"/>
                  </w:tcBorders>
                  <w:vAlign w:val="center"/>
                </w:tcPr>
                <w:p w14:paraId="3D46C6C9">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贡献值</w:t>
                  </w:r>
                </w:p>
              </w:tc>
              <w:tc>
                <w:tcPr>
                  <w:tcW w:w="1730" w:type="pct"/>
                  <w:gridSpan w:val="2"/>
                  <w:tcBorders>
                    <w:tl2br w:val="nil"/>
                    <w:tr2bl w:val="nil"/>
                  </w:tcBorders>
                  <w:vAlign w:val="center"/>
                </w:tcPr>
                <w:p w14:paraId="0EDAD0CF">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标准值</w:t>
                  </w:r>
                </w:p>
              </w:tc>
            </w:tr>
            <w:tr w14:paraId="62BC3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52" w:type="pct"/>
                  <w:vMerge w:val="continue"/>
                  <w:tcBorders>
                    <w:tl2br w:val="nil"/>
                    <w:tr2bl w:val="nil"/>
                  </w:tcBorders>
                  <w:vAlign w:val="center"/>
                </w:tcPr>
                <w:p w14:paraId="1FF0F9A6">
                  <w:pPr>
                    <w:widowControl/>
                    <w:adjustRightInd w:val="0"/>
                    <w:snapToGrid w:val="0"/>
                    <w:jc w:val="center"/>
                    <w:rPr>
                      <w:rFonts w:hint="eastAsia" w:ascii="仿宋" w:hAnsi="仿宋" w:eastAsia="仿宋" w:cs="仿宋"/>
                      <w:color w:val="auto"/>
                      <w:kern w:val="0"/>
                      <w:szCs w:val="21"/>
                    </w:rPr>
                  </w:pPr>
                </w:p>
              </w:tc>
              <w:tc>
                <w:tcPr>
                  <w:tcW w:w="1716" w:type="pct"/>
                  <w:vMerge w:val="continue"/>
                  <w:tcBorders>
                    <w:tl2br w:val="nil"/>
                    <w:tr2bl w:val="nil"/>
                  </w:tcBorders>
                  <w:vAlign w:val="center"/>
                </w:tcPr>
                <w:p w14:paraId="18D08B53">
                  <w:pPr>
                    <w:widowControl/>
                    <w:adjustRightInd w:val="0"/>
                    <w:snapToGrid w:val="0"/>
                    <w:jc w:val="center"/>
                    <w:rPr>
                      <w:rFonts w:hint="eastAsia" w:ascii="仿宋" w:hAnsi="仿宋" w:eastAsia="仿宋" w:cs="仿宋"/>
                      <w:color w:val="auto"/>
                      <w:kern w:val="0"/>
                      <w:szCs w:val="21"/>
                    </w:rPr>
                  </w:pPr>
                </w:p>
              </w:tc>
              <w:tc>
                <w:tcPr>
                  <w:tcW w:w="865" w:type="pct"/>
                  <w:tcBorders>
                    <w:tl2br w:val="nil"/>
                    <w:tr2bl w:val="nil"/>
                  </w:tcBorders>
                  <w:vAlign w:val="center"/>
                </w:tcPr>
                <w:p w14:paraId="4E46A298">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昼间</w:t>
                  </w:r>
                </w:p>
              </w:tc>
              <w:tc>
                <w:tcPr>
                  <w:tcW w:w="865" w:type="pct"/>
                  <w:tcBorders>
                    <w:tl2br w:val="nil"/>
                    <w:tr2bl w:val="nil"/>
                  </w:tcBorders>
                  <w:vAlign w:val="center"/>
                </w:tcPr>
                <w:p w14:paraId="686DB1C6">
                  <w:pPr>
                    <w:widowControl/>
                    <w:adjustRightInd w:val="0"/>
                    <w:snapToGrid w:val="0"/>
                    <w:jc w:val="center"/>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夜间</w:t>
                  </w:r>
                </w:p>
              </w:tc>
            </w:tr>
            <w:tr w14:paraId="5ABC0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552" w:type="pct"/>
                  <w:tcBorders>
                    <w:tl2br w:val="nil"/>
                    <w:tr2bl w:val="nil"/>
                  </w:tcBorders>
                  <w:vAlign w:val="center"/>
                </w:tcPr>
                <w:p w14:paraId="3B56A583">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东厂界</w:t>
                  </w:r>
                </w:p>
              </w:tc>
              <w:tc>
                <w:tcPr>
                  <w:tcW w:w="1716" w:type="pct"/>
                  <w:tcBorders>
                    <w:tl2br w:val="nil"/>
                    <w:tr2bl w:val="nil"/>
                  </w:tcBorders>
                  <w:vAlign w:val="center"/>
                </w:tcPr>
                <w:p w14:paraId="11EF2567">
                  <w:pPr>
                    <w:widowControl/>
                    <w:jc w:val="center"/>
                    <w:textAlignment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40</w:t>
                  </w:r>
                </w:p>
              </w:tc>
              <w:tc>
                <w:tcPr>
                  <w:tcW w:w="865" w:type="pct"/>
                  <w:tcBorders>
                    <w:tl2br w:val="nil"/>
                    <w:tr2bl w:val="nil"/>
                  </w:tcBorders>
                  <w:vAlign w:val="center"/>
                </w:tcPr>
                <w:p w14:paraId="11DD04A3">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65</w:t>
                  </w:r>
                </w:p>
              </w:tc>
              <w:tc>
                <w:tcPr>
                  <w:tcW w:w="865" w:type="pct"/>
                  <w:tcBorders>
                    <w:tl2br w:val="nil"/>
                    <w:tr2bl w:val="nil"/>
                  </w:tcBorders>
                  <w:vAlign w:val="center"/>
                </w:tcPr>
                <w:p w14:paraId="6782449B">
                  <w:pPr>
                    <w:widowControl/>
                    <w:adjustRightInd w:val="0"/>
                    <w:snapToGrid w:val="0"/>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55</w:t>
                  </w:r>
                </w:p>
              </w:tc>
            </w:tr>
            <w:tr w14:paraId="065CF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tcBorders>
                    <w:tl2br w:val="nil"/>
                    <w:tr2bl w:val="nil"/>
                  </w:tcBorders>
                  <w:vAlign w:val="center"/>
                </w:tcPr>
                <w:p w14:paraId="36336BDB">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南厂界</w:t>
                  </w:r>
                </w:p>
              </w:tc>
              <w:tc>
                <w:tcPr>
                  <w:tcW w:w="1716" w:type="pct"/>
                  <w:tcBorders>
                    <w:tl2br w:val="nil"/>
                    <w:tr2bl w:val="nil"/>
                  </w:tcBorders>
                  <w:vAlign w:val="center"/>
                </w:tcPr>
                <w:p w14:paraId="0DCF05A5">
                  <w:pPr>
                    <w:widowControl/>
                    <w:jc w:val="center"/>
                    <w:textAlignment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33</w:t>
                  </w:r>
                </w:p>
              </w:tc>
              <w:tc>
                <w:tcPr>
                  <w:tcW w:w="865" w:type="pct"/>
                  <w:tcBorders>
                    <w:tl2br w:val="nil"/>
                    <w:tr2bl w:val="nil"/>
                  </w:tcBorders>
                  <w:vAlign w:val="center"/>
                </w:tcPr>
                <w:p w14:paraId="0AE38DA4">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65</w:t>
                  </w:r>
                </w:p>
              </w:tc>
              <w:tc>
                <w:tcPr>
                  <w:tcW w:w="865" w:type="pct"/>
                  <w:tcBorders>
                    <w:tl2br w:val="nil"/>
                    <w:tr2bl w:val="nil"/>
                  </w:tcBorders>
                  <w:vAlign w:val="center"/>
                </w:tcPr>
                <w:p w14:paraId="7FC778D6">
                  <w:pPr>
                    <w:widowControl/>
                    <w:adjustRightInd w:val="0"/>
                    <w:snapToGrid w:val="0"/>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55</w:t>
                  </w:r>
                </w:p>
              </w:tc>
            </w:tr>
            <w:tr w14:paraId="4BE5D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2" w:type="pct"/>
                  <w:tcBorders>
                    <w:tl2br w:val="nil"/>
                    <w:tr2bl w:val="nil"/>
                  </w:tcBorders>
                  <w:vAlign w:val="center"/>
                </w:tcPr>
                <w:p w14:paraId="17CF0DBE">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西厂界</w:t>
                  </w:r>
                </w:p>
              </w:tc>
              <w:tc>
                <w:tcPr>
                  <w:tcW w:w="1716" w:type="pct"/>
                  <w:tcBorders>
                    <w:tl2br w:val="nil"/>
                    <w:tr2bl w:val="nil"/>
                  </w:tcBorders>
                  <w:vAlign w:val="center"/>
                </w:tcPr>
                <w:p w14:paraId="108378F4">
                  <w:pPr>
                    <w:widowControl/>
                    <w:jc w:val="center"/>
                    <w:textAlignment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36</w:t>
                  </w:r>
                </w:p>
              </w:tc>
              <w:tc>
                <w:tcPr>
                  <w:tcW w:w="865" w:type="pct"/>
                  <w:tcBorders>
                    <w:tl2br w:val="nil"/>
                    <w:tr2bl w:val="nil"/>
                  </w:tcBorders>
                  <w:vAlign w:val="center"/>
                </w:tcPr>
                <w:p w14:paraId="2051AF94">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65</w:t>
                  </w:r>
                </w:p>
              </w:tc>
              <w:tc>
                <w:tcPr>
                  <w:tcW w:w="865" w:type="pct"/>
                  <w:tcBorders>
                    <w:tl2br w:val="nil"/>
                    <w:tr2bl w:val="nil"/>
                  </w:tcBorders>
                  <w:vAlign w:val="center"/>
                </w:tcPr>
                <w:p w14:paraId="65A12725">
                  <w:pPr>
                    <w:widowControl/>
                    <w:adjustRightInd w:val="0"/>
                    <w:snapToGrid w:val="0"/>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55</w:t>
                  </w:r>
                </w:p>
              </w:tc>
            </w:tr>
            <w:tr w14:paraId="78714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2" w:type="pct"/>
                  <w:tcBorders>
                    <w:tl2br w:val="nil"/>
                    <w:tr2bl w:val="nil"/>
                  </w:tcBorders>
                  <w:vAlign w:val="center"/>
                </w:tcPr>
                <w:p w14:paraId="67FA22D4">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北厂界</w:t>
                  </w:r>
                </w:p>
              </w:tc>
              <w:tc>
                <w:tcPr>
                  <w:tcW w:w="1716" w:type="pct"/>
                  <w:tcBorders>
                    <w:tl2br w:val="nil"/>
                    <w:tr2bl w:val="nil"/>
                  </w:tcBorders>
                  <w:vAlign w:val="center"/>
                </w:tcPr>
                <w:p w14:paraId="1E8E5A4E">
                  <w:pPr>
                    <w:widowControl/>
                    <w:jc w:val="center"/>
                    <w:textAlignment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35</w:t>
                  </w:r>
                </w:p>
              </w:tc>
              <w:tc>
                <w:tcPr>
                  <w:tcW w:w="865" w:type="pct"/>
                  <w:tcBorders>
                    <w:tl2br w:val="nil"/>
                    <w:tr2bl w:val="nil"/>
                  </w:tcBorders>
                  <w:vAlign w:val="center"/>
                </w:tcPr>
                <w:p w14:paraId="1713458E">
                  <w:pPr>
                    <w:widowControl/>
                    <w:adjustRightInd w:val="0"/>
                    <w:snapToGrid w:val="0"/>
                    <w:jc w:val="center"/>
                    <w:rPr>
                      <w:rFonts w:hint="eastAsia" w:ascii="仿宋" w:hAnsi="仿宋" w:eastAsia="仿宋" w:cs="仿宋"/>
                      <w:color w:val="auto"/>
                      <w:kern w:val="0"/>
                      <w:szCs w:val="21"/>
                    </w:rPr>
                  </w:pPr>
                  <w:r>
                    <w:rPr>
                      <w:rFonts w:hint="eastAsia" w:ascii="仿宋" w:hAnsi="仿宋" w:eastAsia="仿宋" w:cs="仿宋"/>
                      <w:color w:val="auto"/>
                      <w:kern w:val="0"/>
                      <w:szCs w:val="21"/>
                    </w:rPr>
                    <w:t>65</w:t>
                  </w:r>
                </w:p>
              </w:tc>
              <w:tc>
                <w:tcPr>
                  <w:tcW w:w="865" w:type="pct"/>
                  <w:tcBorders>
                    <w:tl2br w:val="nil"/>
                    <w:tr2bl w:val="nil"/>
                  </w:tcBorders>
                  <w:vAlign w:val="center"/>
                </w:tcPr>
                <w:p w14:paraId="4E69D970">
                  <w:pPr>
                    <w:widowControl/>
                    <w:adjustRightInd w:val="0"/>
                    <w:snapToGrid w:val="0"/>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55</w:t>
                  </w:r>
                </w:p>
              </w:tc>
            </w:tr>
          </w:tbl>
          <w:p w14:paraId="17BFB304">
            <w:pPr>
              <w:pStyle w:val="10"/>
              <w:keepNext w:val="0"/>
              <w:keepLines w:val="0"/>
              <w:pageBreakBefore w:val="0"/>
              <w:numPr>
                <w:ilvl w:val="0"/>
                <w:numId w:val="0"/>
              </w:numPr>
              <w:kinsoku/>
              <w:wordWrap/>
              <w:overflowPunct/>
              <w:topLinePunct w:val="0"/>
              <w:bidi w:val="0"/>
              <w:spacing w:before="0" w:after="0" w:line="440" w:lineRule="exact"/>
              <w:ind w:right="0" w:rightChars="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声环境影响预测评价表明，项目采取以上噪声防治措施后，厂界噪声昼间、夜间均可以达到GB12348-200</w:t>
            </w:r>
            <w:r>
              <w:rPr>
                <w:rFonts w:hint="eastAsia" w:ascii="仿宋" w:hAnsi="仿宋" w:eastAsia="仿宋" w:cs="仿宋"/>
                <w:color w:val="000000" w:themeColor="text1"/>
                <w:sz w:val="24"/>
                <w:szCs w:val="24"/>
                <w14:textFill>
                  <w14:solidFill>
                    <w14:schemeClr w14:val="tx1"/>
                  </w14:solidFill>
                </w14:textFill>
              </w:rPr>
              <w:t>8《工业企业厂界环境噪声排放标准》中3类</w:t>
            </w:r>
            <w:r>
              <w:rPr>
                <w:rFonts w:hint="eastAsia" w:ascii="仿宋" w:hAnsi="仿宋" w:eastAsia="仿宋" w:cs="仿宋"/>
                <w:color w:val="000000" w:themeColor="text1"/>
                <w:sz w:val="24"/>
                <w14:textFill>
                  <w14:solidFill>
                    <w14:schemeClr w14:val="tx1"/>
                  </w14:solidFill>
                </w14:textFill>
              </w:rPr>
              <w:t>标准</w:t>
            </w:r>
            <w:r>
              <w:rPr>
                <w:rFonts w:hint="eastAsia" w:ascii="仿宋" w:hAnsi="仿宋" w:eastAsia="仿宋" w:cs="仿宋"/>
                <w:color w:val="000000" w:themeColor="text1"/>
                <w:sz w:val="24"/>
                <w:lang w:eastAsia="zh-CN"/>
                <w14:textFill>
                  <w14:solidFill>
                    <w14:schemeClr w14:val="tx1"/>
                  </w14:solidFill>
                </w14:textFill>
              </w:rPr>
              <w:t>。</w:t>
            </w:r>
          </w:p>
          <w:p w14:paraId="5A0619F8">
            <w:pPr>
              <w:spacing w:line="460" w:lineRule="exact"/>
              <w:ind w:firstLine="480"/>
              <w:rPr>
                <w:rFonts w:hint="eastAsia" w:ascii="仿宋" w:hAnsi="仿宋" w:eastAsia="仿宋" w:cs="仿宋"/>
                <w:sz w:val="24"/>
                <w:u w:val="none"/>
              </w:rPr>
            </w:pPr>
            <w:r>
              <w:rPr>
                <w:rFonts w:hint="eastAsia" w:ascii="仿宋" w:hAnsi="仿宋" w:eastAsia="仿宋" w:cs="仿宋"/>
                <w:sz w:val="24"/>
                <w:u w:val="none"/>
              </w:rPr>
              <w:t>为确保项目产生的噪声做到达标排放，本环评提出以下噪声防治要求：</w:t>
            </w:r>
          </w:p>
          <w:p w14:paraId="6AF87F5F">
            <w:pPr>
              <w:spacing w:line="460" w:lineRule="exact"/>
              <w:ind w:firstLine="480"/>
              <w:rPr>
                <w:rFonts w:hint="eastAsia" w:ascii="仿宋" w:hAnsi="仿宋" w:eastAsia="仿宋" w:cs="仿宋"/>
                <w:sz w:val="24"/>
                <w:u w:val="none"/>
              </w:rPr>
            </w:pPr>
            <w:r>
              <w:rPr>
                <w:rFonts w:hint="eastAsia" w:ascii="仿宋" w:hAnsi="仿宋" w:eastAsia="仿宋" w:cs="仿宋"/>
                <w:sz w:val="24"/>
                <w:u w:val="none"/>
              </w:rPr>
              <w:t>①设备选型时注意选用低噪声设备。</w:t>
            </w:r>
          </w:p>
          <w:p w14:paraId="2E6B6570">
            <w:pPr>
              <w:spacing w:line="460" w:lineRule="exact"/>
              <w:ind w:firstLine="480"/>
              <w:rPr>
                <w:rFonts w:hint="eastAsia" w:ascii="仿宋" w:hAnsi="仿宋" w:eastAsia="仿宋" w:cs="仿宋"/>
                <w:sz w:val="24"/>
                <w:u w:val="none"/>
              </w:rPr>
            </w:pPr>
            <w:r>
              <w:rPr>
                <w:rFonts w:hint="eastAsia" w:ascii="仿宋" w:hAnsi="仿宋" w:eastAsia="仿宋" w:cs="仿宋"/>
                <w:sz w:val="24"/>
                <w:u w:val="none"/>
              </w:rPr>
              <w:t>②车间合理布局，尽量将高噪声设备设置于车间中部或放置于独立密闭车间内，要采用隔音效果较好的封闭材料。</w:t>
            </w:r>
          </w:p>
          <w:p w14:paraId="16004609">
            <w:pPr>
              <w:spacing w:line="520" w:lineRule="exact"/>
              <w:ind w:firstLine="480"/>
              <w:rPr>
                <w:rFonts w:hint="eastAsia" w:ascii="仿宋" w:hAnsi="仿宋" w:eastAsia="仿宋" w:cs="仿宋"/>
                <w:sz w:val="24"/>
                <w:u w:val="none"/>
              </w:rPr>
            </w:pPr>
            <w:r>
              <w:rPr>
                <w:rFonts w:hint="eastAsia" w:ascii="仿宋" w:hAnsi="仿宋" w:eastAsia="仿宋" w:cs="仿宋"/>
                <w:sz w:val="24"/>
                <w:u w:val="none"/>
              </w:rPr>
              <w:t>③项目四周设立围墙，起到隔声降噪的作用。</w:t>
            </w:r>
          </w:p>
          <w:p w14:paraId="4C8D781B">
            <w:pPr>
              <w:spacing w:line="520" w:lineRule="exact"/>
              <w:ind w:firstLine="480"/>
              <w:rPr>
                <w:rFonts w:hint="eastAsia" w:ascii="仿宋" w:hAnsi="仿宋" w:eastAsia="仿宋" w:cs="仿宋"/>
                <w:sz w:val="24"/>
                <w:u w:val="none"/>
              </w:rPr>
            </w:pPr>
            <w:r>
              <w:rPr>
                <w:rFonts w:hint="eastAsia" w:ascii="仿宋" w:hAnsi="仿宋" w:eastAsia="仿宋" w:cs="仿宋"/>
                <w:sz w:val="24"/>
                <w:u w:val="none"/>
              </w:rPr>
              <w:t>④</w:t>
            </w:r>
            <w:r>
              <w:rPr>
                <w:rFonts w:hint="eastAsia" w:ascii="仿宋" w:hAnsi="仿宋" w:eastAsia="仿宋" w:cs="仿宋"/>
                <w:bCs/>
                <w:sz w:val="24"/>
                <w:u w:val="none"/>
              </w:rPr>
              <w:t>加强厂区周边绿化，绿化树种高低搭配。</w:t>
            </w:r>
          </w:p>
          <w:p w14:paraId="08C80482">
            <w:pPr>
              <w:adjustRightInd w:val="0"/>
              <w:snapToGrid w:val="0"/>
              <w:spacing w:line="480" w:lineRule="exact"/>
              <w:ind w:firstLine="480" w:firstLineChars="200"/>
              <w:rPr>
                <w:rFonts w:hint="eastAsia" w:ascii="仿宋" w:hAnsi="仿宋" w:eastAsia="仿宋" w:cs="仿宋"/>
                <w:b/>
                <w:bCs/>
                <w:color w:val="auto"/>
                <w:sz w:val="24"/>
                <w:szCs w:val="24"/>
                <w:u w:val="none"/>
                <w:lang w:val="en-US" w:eastAsia="zh-CN"/>
              </w:rPr>
            </w:pPr>
            <w:r>
              <w:rPr>
                <w:rFonts w:hint="eastAsia" w:ascii="仿宋" w:hAnsi="仿宋" w:eastAsia="仿宋" w:cs="仿宋"/>
                <w:sz w:val="24"/>
                <w:u w:val="none"/>
              </w:rPr>
              <w:t>针对项目噪声规律，采取相应措施，加之经过距离衰减后，项目噪声对周围噪声环境影响较小</w:t>
            </w:r>
            <w:r>
              <w:rPr>
                <w:rFonts w:hint="eastAsia" w:ascii="仿宋" w:hAnsi="仿宋" w:eastAsia="仿宋" w:cs="仿宋"/>
                <w:kern w:val="0"/>
                <w:sz w:val="24"/>
                <w:u w:val="none"/>
              </w:rPr>
              <w:t>。</w:t>
            </w:r>
          </w:p>
          <w:p w14:paraId="04B23BB1">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4、噪声监测计划</w:t>
            </w:r>
          </w:p>
          <w:p w14:paraId="20DDF2E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根据《排污单位自行监测技术指南 总则》（HJ 819-2017），本项目污染源监测计划见下表</w:t>
            </w:r>
            <w:r>
              <w:rPr>
                <w:rFonts w:hint="eastAsia" w:ascii="仿宋" w:hAnsi="仿宋" w:eastAsia="仿宋" w:cs="仿宋"/>
                <w:color w:val="auto"/>
                <w:sz w:val="24"/>
                <w:szCs w:val="24"/>
                <w:lang w:eastAsia="zh-CN"/>
              </w:rPr>
              <w:t>。</w:t>
            </w:r>
          </w:p>
          <w:p w14:paraId="5B5CD6B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1"/>
                <w:szCs w:val="21"/>
              </w:rPr>
            </w:pPr>
            <w:r>
              <w:rPr>
                <w:rFonts w:hint="eastAsia" w:ascii="仿宋" w:hAnsi="仿宋" w:eastAsia="仿宋" w:cs="仿宋"/>
                <w:b/>
                <w:color w:val="auto"/>
                <w:sz w:val="21"/>
                <w:szCs w:val="21"/>
              </w:rPr>
              <w:t>表4-</w:t>
            </w:r>
            <w:r>
              <w:rPr>
                <w:rFonts w:hint="eastAsia" w:ascii="仿宋" w:hAnsi="仿宋" w:eastAsia="仿宋" w:cs="仿宋"/>
                <w:b/>
                <w:color w:val="auto"/>
                <w:sz w:val="21"/>
                <w:szCs w:val="21"/>
                <w:lang w:val="en-US" w:eastAsia="zh-CN"/>
              </w:rPr>
              <w:t xml:space="preserve">17 </w:t>
            </w:r>
            <w:r>
              <w:rPr>
                <w:rFonts w:hint="eastAsia" w:ascii="仿宋" w:hAnsi="仿宋" w:eastAsia="仿宋" w:cs="仿宋"/>
                <w:b/>
                <w:color w:val="auto"/>
                <w:sz w:val="21"/>
                <w:szCs w:val="21"/>
              </w:rPr>
              <w:t xml:space="preserve"> </w:t>
            </w:r>
            <w:r>
              <w:rPr>
                <w:rFonts w:hint="eastAsia" w:ascii="仿宋" w:hAnsi="仿宋" w:eastAsia="仿宋" w:cs="仿宋"/>
                <w:b/>
                <w:color w:val="auto"/>
                <w:sz w:val="21"/>
                <w:szCs w:val="21"/>
                <w:lang w:val="en-US" w:eastAsia="zh-CN"/>
              </w:rPr>
              <w:t xml:space="preserve"> 噪声</w:t>
            </w:r>
            <w:r>
              <w:rPr>
                <w:rFonts w:hint="eastAsia" w:ascii="仿宋" w:hAnsi="仿宋" w:eastAsia="仿宋" w:cs="仿宋"/>
                <w:b/>
                <w:color w:val="auto"/>
                <w:sz w:val="21"/>
                <w:szCs w:val="21"/>
              </w:rPr>
              <w:t>监测计划及记录信息</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36"/>
              <w:gridCol w:w="1230"/>
              <w:gridCol w:w="1334"/>
              <w:gridCol w:w="3666"/>
            </w:tblGrid>
            <w:tr w14:paraId="799D9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31" w:type="pct"/>
                  <w:tcBorders>
                    <w:tl2br w:val="nil"/>
                    <w:tr2bl w:val="nil"/>
                  </w:tcBorders>
                  <w:vAlign w:val="center"/>
                </w:tcPr>
                <w:p w14:paraId="3A886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类别</w:t>
                  </w:r>
                </w:p>
              </w:tc>
              <w:tc>
                <w:tcPr>
                  <w:tcW w:w="689" w:type="pct"/>
                  <w:tcBorders>
                    <w:tl2br w:val="nil"/>
                    <w:tr2bl w:val="nil"/>
                  </w:tcBorders>
                  <w:vAlign w:val="center"/>
                </w:tcPr>
                <w:p w14:paraId="7772C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监测点位</w:t>
                  </w:r>
                </w:p>
              </w:tc>
              <w:tc>
                <w:tcPr>
                  <w:tcW w:w="746" w:type="pct"/>
                  <w:tcBorders>
                    <w:tl2br w:val="nil"/>
                    <w:tr2bl w:val="nil"/>
                  </w:tcBorders>
                  <w:vAlign w:val="center"/>
                </w:tcPr>
                <w:p w14:paraId="57D57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监测项目</w:t>
                  </w:r>
                </w:p>
              </w:tc>
              <w:tc>
                <w:tcPr>
                  <w:tcW w:w="809" w:type="pct"/>
                  <w:tcBorders>
                    <w:tl2br w:val="nil"/>
                    <w:tr2bl w:val="nil"/>
                  </w:tcBorders>
                  <w:vAlign w:val="center"/>
                </w:tcPr>
                <w:p w14:paraId="1912B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监测频次</w:t>
                  </w:r>
                </w:p>
              </w:tc>
              <w:tc>
                <w:tcPr>
                  <w:tcW w:w="2223" w:type="pct"/>
                  <w:tcBorders>
                    <w:tl2br w:val="nil"/>
                    <w:tr2bl w:val="nil"/>
                  </w:tcBorders>
                  <w:vAlign w:val="center"/>
                </w:tcPr>
                <w:p w14:paraId="41E28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执行标准</w:t>
                  </w:r>
                </w:p>
              </w:tc>
            </w:tr>
            <w:tr w14:paraId="2B5C0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31" w:type="pct"/>
                  <w:vMerge w:val="restart"/>
                  <w:tcBorders>
                    <w:tl2br w:val="nil"/>
                    <w:tr2bl w:val="nil"/>
                  </w:tcBorders>
                  <w:vAlign w:val="center"/>
                </w:tcPr>
                <w:p w14:paraId="576215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噪声</w:t>
                  </w:r>
                </w:p>
              </w:tc>
              <w:tc>
                <w:tcPr>
                  <w:tcW w:w="689" w:type="pct"/>
                  <w:vMerge w:val="restart"/>
                  <w:tcBorders>
                    <w:tl2br w:val="nil"/>
                    <w:tr2bl w:val="nil"/>
                  </w:tcBorders>
                  <w:vAlign w:val="center"/>
                </w:tcPr>
                <w:p w14:paraId="55E885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厂界外1m</w:t>
                  </w:r>
                </w:p>
              </w:tc>
              <w:tc>
                <w:tcPr>
                  <w:tcW w:w="746" w:type="pct"/>
                  <w:vMerge w:val="restart"/>
                  <w:tcBorders>
                    <w:tl2br w:val="nil"/>
                    <w:tr2bl w:val="nil"/>
                  </w:tcBorders>
                  <w:vAlign w:val="center"/>
                </w:tcPr>
                <w:p w14:paraId="37C2D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color w:val="auto"/>
                      <w:sz w:val="21"/>
                      <w:szCs w:val="21"/>
                      <w:vertAlign w:val="baseline"/>
                      <w:lang w:val="en-US" w:eastAsia="zh-CN"/>
                    </w:rPr>
                    <w:t>等效噪声级LAeq</w:t>
                  </w:r>
                </w:p>
              </w:tc>
              <w:tc>
                <w:tcPr>
                  <w:tcW w:w="809" w:type="pct"/>
                  <w:vMerge w:val="restart"/>
                  <w:tcBorders>
                    <w:tl2br w:val="nil"/>
                    <w:tr2bl w:val="nil"/>
                  </w:tcBorders>
                  <w:vAlign w:val="center"/>
                </w:tcPr>
                <w:p w14:paraId="4E6E3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1次/季度</w:t>
                  </w:r>
                </w:p>
              </w:tc>
              <w:tc>
                <w:tcPr>
                  <w:tcW w:w="2223" w:type="pct"/>
                  <w:vMerge w:val="restart"/>
                  <w:tcBorders>
                    <w:tl2br w:val="nil"/>
                    <w:tr2bl w:val="nil"/>
                  </w:tcBorders>
                  <w:vAlign w:val="center"/>
                </w:tcPr>
                <w:p w14:paraId="358769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vertAlign w:val="baseline"/>
                      <w:lang w:eastAsia="zh-CN"/>
                    </w:rPr>
                    <w:t>《工业企业厂界环境噪声排放标准》(GB12348-2008)表1中边界外声环境功能区类别</w:t>
                  </w:r>
                  <w:r>
                    <w:rPr>
                      <w:rFonts w:hint="eastAsia" w:ascii="仿宋" w:hAnsi="仿宋" w:eastAsia="仿宋" w:cs="仿宋"/>
                      <w:color w:val="auto"/>
                      <w:sz w:val="21"/>
                      <w:szCs w:val="21"/>
                      <w:vertAlign w:val="baseline"/>
                      <w:lang w:val="en-US" w:eastAsia="zh-CN"/>
                    </w:rPr>
                    <w:t>3类</w:t>
                  </w:r>
                  <w:r>
                    <w:rPr>
                      <w:rFonts w:hint="eastAsia" w:ascii="仿宋" w:hAnsi="仿宋" w:eastAsia="仿宋" w:cs="仿宋"/>
                      <w:color w:val="auto"/>
                      <w:sz w:val="21"/>
                      <w:szCs w:val="21"/>
                      <w:vertAlign w:val="baseline"/>
                      <w:lang w:eastAsia="zh-CN"/>
                    </w:rPr>
                    <w:t>标准</w:t>
                  </w:r>
                </w:p>
              </w:tc>
            </w:tr>
            <w:tr w14:paraId="0BD91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31" w:type="pct"/>
                  <w:vMerge w:val="continue"/>
                  <w:tcBorders>
                    <w:tl2br w:val="nil"/>
                    <w:tr2bl w:val="nil"/>
                  </w:tcBorders>
                  <w:vAlign w:val="center"/>
                </w:tcPr>
                <w:p w14:paraId="45F80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p>
              </w:tc>
              <w:tc>
                <w:tcPr>
                  <w:tcW w:w="689" w:type="pct"/>
                  <w:vMerge w:val="continue"/>
                  <w:tcBorders>
                    <w:tl2br w:val="nil"/>
                    <w:tr2bl w:val="nil"/>
                  </w:tcBorders>
                  <w:vAlign w:val="center"/>
                </w:tcPr>
                <w:p w14:paraId="78FC53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p>
              </w:tc>
              <w:tc>
                <w:tcPr>
                  <w:tcW w:w="746" w:type="pct"/>
                  <w:vMerge w:val="continue"/>
                  <w:tcBorders>
                    <w:tl2br w:val="nil"/>
                    <w:tr2bl w:val="nil"/>
                  </w:tcBorders>
                  <w:vAlign w:val="center"/>
                </w:tcPr>
                <w:p w14:paraId="0F7F92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p>
              </w:tc>
              <w:tc>
                <w:tcPr>
                  <w:tcW w:w="809" w:type="pct"/>
                  <w:vMerge w:val="continue"/>
                  <w:tcBorders>
                    <w:tl2br w:val="nil"/>
                    <w:tr2bl w:val="nil"/>
                  </w:tcBorders>
                  <w:vAlign w:val="center"/>
                </w:tcPr>
                <w:p w14:paraId="5B2234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p>
              </w:tc>
              <w:tc>
                <w:tcPr>
                  <w:tcW w:w="2223" w:type="pct"/>
                  <w:vMerge w:val="continue"/>
                  <w:tcBorders>
                    <w:tl2br w:val="nil"/>
                    <w:tr2bl w:val="nil"/>
                  </w:tcBorders>
                  <w:vAlign w:val="center"/>
                </w:tcPr>
                <w:p w14:paraId="0AE1D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vertAlign w:val="baseline"/>
                      <w:lang w:val="en-US" w:eastAsia="zh-CN"/>
                    </w:rPr>
                  </w:pPr>
                </w:p>
              </w:tc>
            </w:tr>
          </w:tbl>
          <w:p w14:paraId="5E466A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四</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固体废物</w:t>
            </w:r>
          </w:p>
          <w:p w14:paraId="37FE3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rPr>
              <w:t>本项目固体废物</w:t>
            </w:r>
            <w:r>
              <w:rPr>
                <w:rFonts w:hint="eastAsia" w:ascii="仿宋" w:hAnsi="仿宋" w:eastAsia="仿宋" w:cs="仿宋"/>
                <w:bCs/>
                <w:color w:val="auto"/>
                <w:sz w:val="24"/>
                <w:szCs w:val="24"/>
                <w:lang w:val="en-US" w:eastAsia="zh-CN"/>
              </w:rPr>
              <w:t>包括不可降解物、一般废包装物</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废布袋</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废机油、废机油桶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生活垃圾等，除尘器收集尘、废水沉淀污泥等全部回用于生产，本环评不再单独分析。具体如下：</w:t>
            </w:r>
          </w:p>
          <w:p w14:paraId="3CAD208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w:t>
            </w:r>
            <w:r>
              <w:rPr>
                <w:rFonts w:hint="eastAsia" w:ascii="仿宋" w:hAnsi="仿宋" w:eastAsia="仿宋" w:cs="仿宋"/>
                <w:snapToGrid/>
                <w:color w:val="auto"/>
                <w:w w:val="100"/>
                <w:kern w:val="0"/>
                <w:sz w:val="24"/>
                <w:szCs w:val="24"/>
                <w:lang w:val="en-US" w:eastAsia="zh-CN"/>
              </w:rPr>
              <w:t>生活垃圾：</w:t>
            </w:r>
            <w:r>
              <w:rPr>
                <w:rFonts w:hint="eastAsia" w:ascii="仿宋" w:hAnsi="仿宋" w:eastAsia="仿宋" w:cs="仿宋"/>
                <w:color w:val="auto"/>
                <w:kern w:val="28"/>
                <w:sz w:val="24"/>
              </w:rPr>
              <w:t>工作人员产生的生活垃圾，按人均0.5kg/d计算，全年产生量为</w:t>
            </w:r>
            <w:r>
              <w:rPr>
                <w:rFonts w:hint="eastAsia" w:ascii="仿宋" w:hAnsi="仿宋" w:eastAsia="仿宋" w:cs="仿宋"/>
                <w:color w:val="auto"/>
                <w:kern w:val="28"/>
                <w:sz w:val="24"/>
                <w:lang w:val="en-US" w:eastAsia="zh-CN"/>
              </w:rPr>
              <w:t>9.9</w:t>
            </w:r>
            <w:r>
              <w:rPr>
                <w:rFonts w:hint="eastAsia" w:ascii="仿宋" w:hAnsi="仿宋" w:eastAsia="仿宋" w:cs="仿宋"/>
                <w:color w:val="auto"/>
                <w:kern w:val="28"/>
                <w:sz w:val="24"/>
              </w:rPr>
              <w:t>t/a。该生活垃圾由环卫部门及时清运。</w:t>
            </w:r>
          </w:p>
          <w:p w14:paraId="74639EEA">
            <w:pPr>
              <w:pStyle w:val="136"/>
              <w:spacing w:before="31" w:line="221" w:lineRule="auto"/>
              <w:ind w:left="533"/>
              <w:jc w:val="both"/>
              <w:rPr>
                <w:rFonts w:hint="eastAsia" w:ascii="仿宋" w:hAnsi="仿宋" w:eastAsia="仿宋" w:cs="仿宋"/>
                <w:b w:val="0"/>
                <w:bCs w:val="0"/>
                <w:sz w:val="24"/>
                <w:szCs w:val="24"/>
              </w:rPr>
            </w:pP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lang w:val="en-US" w:eastAsia="zh-CN"/>
              </w:rPr>
              <w:t>2</w:t>
            </w:r>
            <w:r>
              <w:rPr>
                <w:rFonts w:hint="eastAsia" w:ascii="仿宋" w:hAnsi="仿宋" w:eastAsia="仿宋" w:cs="仿宋"/>
                <w:b w:val="0"/>
                <w:bCs w:val="0"/>
                <w:spacing w:val="-3"/>
                <w:sz w:val="24"/>
                <w:szCs w:val="24"/>
                <w:lang w:eastAsia="zh-CN"/>
              </w:rPr>
              <w:t>）</w:t>
            </w:r>
            <w:r>
              <w:rPr>
                <w:rFonts w:hint="eastAsia" w:ascii="仿宋" w:hAnsi="仿宋" w:eastAsia="仿宋" w:cs="仿宋"/>
                <w:b w:val="0"/>
                <w:bCs w:val="0"/>
                <w:spacing w:val="-3"/>
                <w:sz w:val="24"/>
                <w:szCs w:val="24"/>
              </w:rPr>
              <w:t>不可降解物</w:t>
            </w:r>
          </w:p>
          <w:p w14:paraId="3BD9F51D">
            <w:pPr>
              <w:pStyle w:val="136"/>
              <w:spacing w:before="108" w:line="304" w:lineRule="auto"/>
              <w:ind w:left="122" w:right="95" w:firstLine="408"/>
              <w:jc w:val="both"/>
              <w:rPr>
                <w:rFonts w:hint="eastAsia" w:ascii="仿宋" w:hAnsi="仿宋" w:eastAsia="仿宋" w:cs="仿宋"/>
                <w:sz w:val="24"/>
                <w:szCs w:val="24"/>
              </w:rPr>
            </w:pPr>
            <w:r>
              <w:rPr>
                <w:rFonts w:hint="eastAsia" w:ascii="仿宋" w:hAnsi="仿宋" w:eastAsia="仿宋" w:cs="仿宋"/>
                <w:spacing w:val="-5"/>
                <w:sz w:val="24"/>
                <w:szCs w:val="24"/>
              </w:rPr>
              <w:t>项目筛选工序会筛分出少量的不可降解物（如塑料、金属等</w:t>
            </w:r>
            <w:r>
              <w:rPr>
                <w:rFonts w:hint="eastAsia" w:ascii="仿宋" w:hAnsi="仿宋" w:eastAsia="仿宋" w:cs="仿宋"/>
                <w:spacing w:val="-2"/>
                <w:sz w:val="24"/>
                <w:szCs w:val="24"/>
              </w:rPr>
              <w:t>），</w:t>
            </w:r>
            <w:r>
              <w:rPr>
                <w:rFonts w:hint="eastAsia" w:ascii="仿宋" w:hAnsi="仿宋" w:eastAsia="仿宋" w:cs="仿宋"/>
                <w:spacing w:val="-5"/>
                <w:sz w:val="24"/>
                <w:szCs w:val="24"/>
              </w:rPr>
              <w:t>其产生量按发酵中间产物</w:t>
            </w:r>
            <w:r>
              <w:rPr>
                <w:rFonts w:hint="eastAsia" w:ascii="仿宋" w:hAnsi="仿宋" w:eastAsia="仿宋" w:cs="仿宋"/>
                <w:spacing w:val="-1"/>
                <w:sz w:val="24"/>
                <w:szCs w:val="24"/>
              </w:rPr>
              <w:t>的0.5‰计，根据物料平衡约</w:t>
            </w:r>
            <w:r>
              <w:rPr>
                <w:rFonts w:hint="eastAsia" w:ascii="仿宋" w:hAnsi="仿宋" w:eastAsia="仿宋" w:cs="仿宋"/>
                <w:spacing w:val="-1"/>
                <w:sz w:val="24"/>
                <w:szCs w:val="24"/>
                <w:lang w:val="en-US" w:eastAsia="zh-CN"/>
              </w:rPr>
              <w:t>50</w:t>
            </w:r>
            <w:r>
              <w:rPr>
                <w:rFonts w:hint="eastAsia" w:ascii="仿宋" w:hAnsi="仿宋" w:eastAsia="仿宋" w:cs="仿宋"/>
                <w:spacing w:val="-1"/>
                <w:sz w:val="24"/>
                <w:szCs w:val="24"/>
              </w:rPr>
              <w:t>.0t/a，属于一般废物，收集后外运综合处置。</w:t>
            </w:r>
          </w:p>
          <w:p w14:paraId="6D2967CB">
            <w:pPr>
              <w:pStyle w:val="136"/>
              <w:spacing w:before="31" w:line="221" w:lineRule="auto"/>
              <w:ind w:left="522"/>
              <w:jc w:val="both"/>
              <w:rPr>
                <w:rFonts w:hint="eastAsia" w:ascii="仿宋" w:hAnsi="仿宋" w:eastAsia="仿宋" w:cs="仿宋"/>
                <w:b w:val="0"/>
                <w:bCs w:val="0"/>
                <w:sz w:val="24"/>
                <w:szCs w:val="24"/>
              </w:rPr>
            </w:pPr>
            <w:r>
              <w:rPr>
                <w:rFonts w:hint="eastAsia" w:ascii="仿宋" w:hAnsi="仿宋" w:eastAsia="仿宋" w:cs="仿宋"/>
                <w:b w:val="0"/>
                <w:bCs w:val="0"/>
                <w:spacing w:val="-2"/>
                <w:sz w:val="24"/>
                <w:szCs w:val="24"/>
                <w:lang w:val="en-US" w:eastAsia="zh-CN"/>
              </w:rPr>
              <w:t>（3）</w:t>
            </w:r>
            <w:r>
              <w:rPr>
                <w:rFonts w:hint="eastAsia" w:ascii="仿宋" w:hAnsi="仿宋" w:eastAsia="仿宋" w:cs="仿宋"/>
                <w:b w:val="0"/>
                <w:bCs w:val="0"/>
                <w:spacing w:val="-2"/>
                <w:sz w:val="24"/>
                <w:szCs w:val="24"/>
              </w:rPr>
              <w:t>一般废包装物</w:t>
            </w:r>
          </w:p>
          <w:p w14:paraId="2EB330AB">
            <w:pPr>
              <w:pStyle w:val="136"/>
              <w:spacing w:before="104" w:line="303" w:lineRule="auto"/>
              <w:ind w:left="107" w:right="108" w:firstLine="424"/>
              <w:jc w:val="both"/>
              <w:rPr>
                <w:rFonts w:hint="eastAsia" w:ascii="仿宋" w:hAnsi="仿宋" w:eastAsia="仿宋" w:cs="仿宋"/>
                <w:sz w:val="24"/>
                <w:szCs w:val="24"/>
              </w:rPr>
            </w:pPr>
            <w:r>
              <w:rPr>
                <w:rFonts w:hint="eastAsia" w:ascii="仿宋" w:hAnsi="仿宋" w:eastAsia="仿宋" w:cs="仿宋"/>
                <w:spacing w:val="-1"/>
                <w:sz w:val="24"/>
                <w:szCs w:val="24"/>
              </w:rPr>
              <w:t>项目部分原料会采用袋装（污泥、秸秆）或桶装（菌剂）方式，预计其产</w:t>
            </w:r>
            <w:r>
              <w:rPr>
                <w:rFonts w:hint="eastAsia" w:ascii="仿宋" w:hAnsi="仿宋" w:eastAsia="仿宋" w:cs="仿宋"/>
                <w:spacing w:val="-2"/>
                <w:sz w:val="24"/>
                <w:szCs w:val="24"/>
              </w:rPr>
              <w:t>生量约1</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t/a，属于一般废物，收集后外运综合处置。</w:t>
            </w:r>
          </w:p>
          <w:p w14:paraId="08AD58C3">
            <w:pPr>
              <w:pStyle w:val="136"/>
              <w:spacing w:before="30" w:line="220" w:lineRule="auto"/>
              <w:ind w:left="524"/>
              <w:jc w:val="both"/>
              <w:rPr>
                <w:rFonts w:hint="eastAsia" w:ascii="仿宋" w:hAnsi="仿宋" w:eastAsia="仿宋" w:cs="仿宋"/>
                <w:b w:val="0"/>
                <w:bCs w:val="0"/>
                <w:sz w:val="24"/>
                <w:szCs w:val="24"/>
              </w:rPr>
            </w:pPr>
            <w:r>
              <w:rPr>
                <w:rFonts w:hint="eastAsia" w:ascii="仿宋" w:hAnsi="仿宋" w:eastAsia="仿宋" w:cs="仿宋"/>
                <w:b w:val="0"/>
                <w:bCs w:val="0"/>
                <w:spacing w:val="-1"/>
                <w:sz w:val="24"/>
                <w:szCs w:val="24"/>
                <w:lang w:val="en-US" w:eastAsia="zh-CN"/>
              </w:rPr>
              <w:t>（4）</w:t>
            </w:r>
            <w:r>
              <w:rPr>
                <w:rFonts w:hint="eastAsia" w:ascii="仿宋" w:hAnsi="仿宋" w:eastAsia="仿宋" w:cs="仿宋"/>
                <w:b w:val="0"/>
                <w:bCs w:val="0"/>
                <w:spacing w:val="-1"/>
                <w:sz w:val="24"/>
                <w:szCs w:val="24"/>
              </w:rPr>
              <w:t>废布袋</w:t>
            </w:r>
          </w:p>
          <w:p w14:paraId="138012E9">
            <w:pPr>
              <w:pStyle w:val="136"/>
              <w:spacing w:before="111" w:line="299" w:lineRule="auto"/>
              <w:ind w:left="104" w:right="100" w:firstLine="426"/>
              <w:jc w:val="both"/>
              <w:rPr>
                <w:rFonts w:hint="default" w:ascii="仿宋" w:hAnsi="仿宋" w:eastAsia="仿宋" w:cs="仿宋"/>
                <w:bCs/>
                <w:color w:val="auto"/>
                <w:sz w:val="24"/>
                <w:szCs w:val="24"/>
                <w:lang w:val="en-US" w:eastAsia="zh-CN"/>
              </w:rPr>
            </w:pPr>
            <w:r>
              <w:rPr>
                <w:rFonts w:hint="eastAsia" w:ascii="仿宋" w:hAnsi="仿宋" w:eastAsia="仿宋" w:cs="仿宋"/>
                <w:spacing w:val="3"/>
                <w:sz w:val="24"/>
                <w:szCs w:val="24"/>
              </w:rPr>
              <w:t>项目粉尘的去除会用到布袋除尘器，所用布袋需定期清灰并适时更换，预计其产</w:t>
            </w:r>
            <w:r>
              <w:rPr>
                <w:rFonts w:hint="eastAsia" w:ascii="仿宋" w:hAnsi="仿宋" w:eastAsia="仿宋" w:cs="仿宋"/>
                <w:spacing w:val="2"/>
                <w:sz w:val="24"/>
                <w:szCs w:val="24"/>
              </w:rPr>
              <w:t>生量约</w:t>
            </w:r>
            <w:r>
              <w:rPr>
                <w:rFonts w:hint="eastAsia" w:ascii="仿宋" w:hAnsi="仿宋" w:eastAsia="仿宋" w:cs="仿宋"/>
                <w:spacing w:val="-1"/>
                <w:sz w:val="24"/>
                <w:szCs w:val="24"/>
              </w:rPr>
              <w:t>0.3t/a，属于一般废物，收集后外运综合处置。</w:t>
            </w:r>
          </w:p>
          <w:p w14:paraId="1EFC9C94">
            <w:pPr>
              <w:pStyle w:val="1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（5）废机油、废机油桶：</w:t>
            </w:r>
            <w:r>
              <w:rPr>
                <w:rFonts w:hint="eastAsia" w:ascii="仿宋" w:hAnsi="仿宋" w:eastAsia="仿宋" w:cs="仿宋"/>
                <w:snapToGrid/>
                <w:color w:val="auto"/>
                <w:w w:val="100"/>
                <w:kern w:val="0"/>
                <w:sz w:val="24"/>
                <w:szCs w:val="24"/>
                <w:lang w:val="en-US" w:eastAsia="zh-CN"/>
              </w:rPr>
              <w:t>生产中设备维护保养产生废机油0.1t/a、废机油桶0.05t/a，均属于危险废物，收集至危废仓库暂存，定期交由资质单位处理。</w:t>
            </w:r>
          </w:p>
          <w:p w14:paraId="5D92CC1F">
            <w:pPr>
              <w:pStyle w:val="1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outlineLvl w:val="9"/>
              <w:rPr>
                <w:rFonts w:hint="eastAsia" w:ascii="仿宋" w:hAnsi="仿宋" w:eastAsia="仿宋" w:cs="仿宋"/>
                <w:snapToGrid/>
                <w:color w:val="auto"/>
                <w:w w:val="100"/>
                <w:kern w:val="0"/>
                <w:sz w:val="24"/>
                <w:szCs w:val="24"/>
                <w:lang w:val="en-US" w:eastAsia="zh-CN"/>
              </w:rPr>
            </w:pPr>
            <w:r>
              <w:rPr>
                <w:rFonts w:hint="eastAsia" w:ascii="仿宋" w:hAnsi="仿宋" w:eastAsia="仿宋" w:cs="仿宋"/>
                <w:bCs/>
                <w:color w:val="auto"/>
                <w:sz w:val="24"/>
                <w:szCs w:val="24"/>
                <w:lang w:val="en-US" w:eastAsia="zh-CN"/>
              </w:rPr>
              <w:t>（7）废含油抹布及手套：</w:t>
            </w:r>
            <w:r>
              <w:rPr>
                <w:rFonts w:hint="eastAsia" w:ascii="仿宋" w:hAnsi="仿宋" w:eastAsia="仿宋" w:cs="仿宋"/>
                <w:snapToGrid/>
                <w:color w:val="auto"/>
                <w:w w:val="100"/>
                <w:kern w:val="0"/>
                <w:sz w:val="24"/>
                <w:szCs w:val="24"/>
                <w:lang w:val="en-US" w:eastAsia="zh-CN"/>
              </w:rPr>
              <w:t>设备维修时均产生废含油抹布及手套，年产生量约0.02t/a，属于危险废物，收集至危废仓库暂存，定期交由资质单位处理。</w:t>
            </w:r>
          </w:p>
          <w:p w14:paraId="304541CF">
            <w:pPr>
              <w:pStyle w:val="10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color w:val="auto"/>
                <w:kern w:val="0"/>
                <w:sz w:val="21"/>
                <w:szCs w:val="21"/>
              </w:rPr>
            </w:pPr>
            <w:r>
              <w:rPr>
                <w:rFonts w:hint="eastAsia" w:ascii="仿宋" w:hAnsi="仿宋" w:eastAsia="仿宋" w:cs="仿宋"/>
                <w:b/>
                <w:bCs/>
                <w:color w:val="auto"/>
                <w:kern w:val="0"/>
                <w:sz w:val="21"/>
                <w:szCs w:val="21"/>
              </w:rPr>
              <w:t>表</w:t>
            </w:r>
            <w:r>
              <w:rPr>
                <w:rFonts w:hint="eastAsia" w:ascii="仿宋" w:hAnsi="仿宋" w:eastAsia="仿宋" w:cs="仿宋"/>
                <w:b/>
                <w:bCs/>
                <w:color w:val="auto"/>
                <w:kern w:val="0"/>
                <w:sz w:val="21"/>
                <w:szCs w:val="21"/>
                <w:lang w:val="en-US" w:eastAsia="zh-CN"/>
              </w:rPr>
              <w:t xml:space="preserve">4-18  </w:t>
            </w:r>
            <w:r>
              <w:rPr>
                <w:rFonts w:hint="eastAsia" w:ascii="仿宋" w:hAnsi="仿宋" w:eastAsia="仿宋" w:cs="仿宋"/>
                <w:b/>
                <w:bCs/>
                <w:color w:val="auto"/>
              </w:rPr>
              <w:t>项目运营期固体废物产生和处置情况一览表</w:t>
            </w:r>
          </w:p>
          <w:tbl>
            <w:tblPr>
              <w:tblStyle w:val="32"/>
              <w:tblW w:w="4993"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490"/>
              <w:gridCol w:w="909"/>
              <w:gridCol w:w="702"/>
              <w:gridCol w:w="702"/>
              <w:gridCol w:w="702"/>
              <w:gridCol w:w="705"/>
              <w:gridCol w:w="705"/>
              <w:gridCol w:w="1206"/>
              <w:gridCol w:w="705"/>
              <w:gridCol w:w="705"/>
              <w:gridCol w:w="702"/>
            </w:tblGrid>
            <w:tr w14:paraId="722F4F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80" w:hRule="atLeast"/>
                <w:jc w:val="center"/>
              </w:trPr>
              <w:tc>
                <w:tcPr>
                  <w:tcW w:w="298" w:type="pct"/>
                  <w:tcBorders>
                    <w:tl2br w:val="nil"/>
                    <w:tr2bl w:val="nil"/>
                  </w:tcBorders>
                  <w:shd w:val="clear" w:color="auto" w:fill="auto"/>
                  <w:vAlign w:val="center"/>
                </w:tcPr>
                <w:p w14:paraId="44DF6828">
                  <w:pPr>
                    <w:keepNext w:val="0"/>
                    <w:keepLines w:val="0"/>
                    <w:widowControl/>
                    <w:suppressLineNumbers w:val="0"/>
                    <w:jc w:val="center"/>
                    <w:textAlignment w:val="center"/>
                    <w:rPr>
                      <w:rFonts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序号</w:t>
                  </w:r>
                </w:p>
              </w:tc>
              <w:tc>
                <w:tcPr>
                  <w:tcW w:w="552" w:type="pct"/>
                  <w:tcBorders>
                    <w:tl2br w:val="nil"/>
                    <w:tr2bl w:val="nil"/>
                  </w:tcBorders>
                  <w:shd w:val="clear" w:color="auto" w:fill="auto"/>
                  <w:vAlign w:val="center"/>
                </w:tcPr>
                <w:p w14:paraId="1489749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名称</w:t>
                  </w:r>
                </w:p>
              </w:tc>
              <w:tc>
                <w:tcPr>
                  <w:tcW w:w="426" w:type="pct"/>
                  <w:tcBorders>
                    <w:tl2br w:val="nil"/>
                    <w:tr2bl w:val="nil"/>
                  </w:tcBorders>
                  <w:shd w:val="clear" w:color="auto" w:fill="auto"/>
                  <w:vAlign w:val="center"/>
                </w:tcPr>
                <w:p w14:paraId="3B6F670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产生工序</w:t>
                  </w:r>
                </w:p>
              </w:tc>
              <w:tc>
                <w:tcPr>
                  <w:tcW w:w="426" w:type="pct"/>
                  <w:tcBorders>
                    <w:tl2br w:val="nil"/>
                    <w:tr2bl w:val="nil"/>
                  </w:tcBorders>
                  <w:shd w:val="clear" w:color="auto" w:fill="auto"/>
                  <w:vAlign w:val="center"/>
                </w:tcPr>
                <w:p w14:paraId="57BEF95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属性</w:t>
                  </w:r>
                </w:p>
              </w:tc>
              <w:tc>
                <w:tcPr>
                  <w:tcW w:w="426" w:type="pct"/>
                  <w:tcBorders>
                    <w:tl2br w:val="nil"/>
                    <w:tr2bl w:val="nil"/>
                  </w:tcBorders>
                  <w:shd w:val="clear" w:color="auto" w:fill="auto"/>
                  <w:vAlign w:val="center"/>
                </w:tcPr>
                <w:p w14:paraId="4D14D9B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形态</w:t>
                  </w:r>
                </w:p>
              </w:tc>
              <w:tc>
                <w:tcPr>
                  <w:tcW w:w="428" w:type="pct"/>
                  <w:tcBorders>
                    <w:tl2br w:val="nil"/>
                    <w:tr2bl w:val="nil"/>
                  </w:tcBorders>
                  <w:shd w:val="clear" w:color="auto" w:fill="auto"/>
                  <w:vAlign w:val="center"/>
                </w:tcPr>
                <w:p w14:paraId="06DFB24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产生量t/a</w:t>
                  </w:r>
                </w:p>
              </w:tc>
              <w:tc>
                <w:tcPr>
                  <w:tcW w:w="428" w:type="pct"/>
                  <w:tcBorders>
                    <w:tl2br w:val="nil"/>
                    <w:tr2bl w:val="nil"/>
                  </w:tcBorders>
                  <w:shd w:val="clear" w:color="auto" w:fill="auto"/>
                  <w:vAlign w:val="center"/>
                </w:tcPr>
                <w:p w14:paraId="01A3349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废物类别</w:t>
                  </w:r>
                </w:p>
              </w:tc>
              <w:tc>
                <w:tcPr>
                  <w:tcW w:w="732" w:type="pct"/>
                  <w:tcBorders>
                    <w:tl2br w:val="nil"/>
                    <w:tr2bl w:val="nil"/>
                  </w:tcBorders>
                  <w:shd w:val="clear" w:color="auto" w:fill="auto"/>
                  <w:vAlign w:val="center"/>
                </w:tcPr>
                <w:p w14:paraId="71D9C16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废物代码</w:t>
                  </w:r>
                </w:p>
              </w:tc>
              <w:tc>
                <w:tcPr>
                  <w:tcW w:w="428" w:type="pct"/>
                  <w:tcBorders>
                    <w:tl2br w:val="nil"/>
                    <w:tr2bl w:val="nil"/>
                  </w:tcBorders>
                  <w:shd w:val="clear" w:color="auto" w:fill="auto"/>
                  <w:vAlign w:val="center"/>
                </w:tcPr>
                <w:p w14:paraId="02268C8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主要成分</w:t>
                  </w:r>
                </w:p>
              </w:tc>
              <w:tc>
                <w:tcPr>
                  <w:tcW w:w="428" w:type="pct"/>
                  <w:tcBorders>
                    <w:tl2br w:val="nil"/>
                    <w:tr2bl w:val="nil"/>
                  </w:tcBorders>
                  <w:shd w:val="clear" w:color="auto" w:fill="auto"/>
                  <w:vAlign w:val="center"/>
                </w:tcPr>
                <w:p w14:paraId="53D8B16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贮存方式</w:t>
                  </w:r>
                </w:p>
              </w:tc>
              <w:tc>
                <w:tcPr>
                  <w:tcW w:w="426" w:type="pct"/>
                  <w:tcBorders>
                    <w:tl2br w:val="nil"/>
                    <w:tr2bl w:val="nil"/>
                  </w:tcBorders>
                  <w:shd w:val="clear" w:color="auto" w:fill="auto"/>
                  <w:vAlign w:val="center"/>
                </w:tcPr>
                <w:p w14:paraId="4AE1259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处理处置方式</w:t>
                  </w:r>
                </w:p>
              </w:tc>
            </w:tr>
            <w:tr w14:paraId="30B32C2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298" w:type="pct"/>
                  <w:tcBorders>
                    <w:tl2br w:val="nil"/>
                    <w:tr2bl w:val="nil"/>
                  </w:tcBorders>
                  <w:shd w:val="clear" w:color="auto" w:fill="auto"/>
                  <w:vAlign w:val="center"/>
                </w:tcPr>
                <w:p w14:paraId="73F2588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1</w:t>
                  </w:r>
                </w:p>
              </w:tc>
              <w:tc>
                <w:tcPr>
                  <w:tcW w:w="552" w:type="pct"/>
                  <w:tcBorders>
                    <w:tl2br w:val="nil"/>
                    <w:tr2bl w:val="nil"/>
                  </w:tcBorders>
                  <w:shd w:val="clear" w:color="auto" w:fill="auto"/>
                  <w:vAlign w:val="center"/>
                </w:tcPr>
                <w:p w14:paraId="2881ABE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生活垃圾</w:t>
                  </w:r>
                </w:p>
              </w:tc>
              <w:tc>
                <w:tcPr>
                  <w:tcW w:w="426" w:type="pct"/>
                  <w:tcBorders>
                    <w:tl2br w:val="nil"/>
                    <w:tr2bl w:val="nil"/>
                  </w:tcBorders>
                  <w:shd w:val="clear" w:color="auto" w:fill="auto"/>
                  <w:vAlign w:val="center"/>
                </w:tcPr>
                <w:p w14:paraId="531126A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办公生活</w:t>
                  </w:r>
                </w:p>
              </w:tc>
              <w:tc>
                <w:tcPr>
                  <w:tcW w:w="426" w:type="pct"/>
                  <w:tcBorders>
                    <w:tl2br w:val="nil"/>
                    <w:tr2bl w:val="nil"/>
                  </w:tcBorders>
                  <w:shd w:val="clear" w:color="auto" w:fill="auto"/>
                  <w:vAlign w:val="center"/>
                </w:tcPr>
                <w:p w14:paraId="6FACE72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生活垃圾</w:t>
                  </w:r>
                </w:p>
              </w:tc>
              <w:tc>
                <w:tcPr>
                  <w:tcW w:w="426" w:type="pct"/>
                  <w:tcBorders>
                    <w:tl2br w:val="nil"/>
                    <w:tr2bl w:val="nil"/>
                  </w:tcBorders>
                  <w:shd w:val="clear" w:color="auto" w:fill="auto"/>
                  <w:vAlign w:val="center"/>
                </w:tcPr>
                <w:p w14:paraId="2A19D8E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半固态</w:t>
                  </w:r>
                </w:p>
              </w:tc>
              <w:tc>
                <w:tcPr>
                  <w:tcW w:w="428" w:type="pct"/>
                  <w:tcBorders>
                    <w:tl2br w:val="nil"/>
                    <w:tr2bl w:val="nil"/>
                  </w:tcBorders>
                  <w:shd w:val="clear" w:color="auto" w:fill="auto"/>
                  <w:vAlign w:val="center"/>
                </w:tcPr>
                <w:p w14:paraId="252AEC3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9.9</w:t>
                  </w:r>
                </w:p>
              </w:tc>
              <w:tc>
                <w:tcPr>
                  <w:tcW w:w="428" w:type="pct"/>
                  <w:tcBorders>
                    <w:tl2br w:val="nil"/>
                    <w:tr2bl w:val="nil"/>
                  </w:tcBorders>
                  <w:shd w:val="clear" w:color="auto" w:fill="auto"/>
                  <w:vAlign w:val="center"/>
                </w:tcPr>
                <w:p w14:paraId="0A55662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SW64</w:t>
                  </w:r>
                </w:p>
              </w:tc>
              <w:tc>
                <w:tcPr>
                  <w:tcW w:w="732" w:type="pct"/>
                  <w:tcBorders>
                    <w:tl2br w:val="nil"/>
                    <w:tr2bl w:val="nil"/>
                  </w:tcBorders>
                  <w:shd w:val="clear" w:color="auto" w:fill="auto"/>
                  <w:vAlign w:val="center"/>
                </w:tcPr>
                <w:p w14:paraId="7D1BE2F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900-099-S64</w:t>
                  </w:r>
                </w:p>
              </w:tc>
              <w:tc>
                <w:tcPr>
                  <w:tcW w:w="428" w:type="pct"/>
                  <w:tcBorders>
                    <w:tl2br w:val="nil"/>
                    <w:tr2bl w:val="nil"/>
                  </w:tcBorders>
                  <w:shd w:val="clear" w:color="auto" w:fill="auto"/>
                  <w:vAlign w:val="center"/>
                </w:tcPr>
                <w:p w14:paraId="5D35F96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纸质、塑料</w:t>
                  </w:r>
                </w:p>
              </w:tc>
              <w:tc>
                <w:tcPr>
                  <w:tcW w:w="428" w:type="pct"/>
                  <w:tcBorders>
                    <w:tl2br w:val="nil"/>
                    <w:tr2bl w:val="nil"/>
                  </w:tcBorders>
                  <w:shd w:val="clear" w:color="auto" w:fill="auto"/>
                  <w:vAlign w:val="center"/>
                </w:tcPr>
                <w:p w14:paraId="65E5B67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w:t>
                  </w:r>
                </w:p>
              </w:tc>
              <w:tc>
                <w:tcPr>
                  <w:tcW w:w="426" w:type="pct"/>
                  <w:tcBorders>
                    <w:tl2br w:val="nil"/>
                    <w:tr2bl w:val="nil"/>
                  </w:tcBorders>
                  <w:shd w:val="clear" w:color="auto" w:fill="auto"/>
                  <w:vAlign w:val="center"/>
                </w:tcPr>
                <w:p w14:paraId="76DAD57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环卫清运</w:t>
                  </w:r>
                </w:p>
              </w:tc>
            </w:tr>
            <w:tr w14:paraId="224965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298" w:type="pct"/>
                  <w:tcBorders>
                    <w:tl2br w:val="nil"/>
                    <w:tr2bl w:val="nil"/>
                  </w:tcBorders>
                  <w:shd w:val="clear" w:color="auto" w:fill="auto"/>
                  <w:vAlign w:val="center"/>
                </w:tcPr>
                <w:p w14:paraId="276C92B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2</w:t>
                  </w:r>
                </w:p>
              </w:tc>
              <w:tc>
                <w:tcPr>
                  <w:tcW w:w="552" w:type="pct"/>
                  <w:tcBorders>
                    <w:tl2br w:val="nil"/>
                    <w:tr2bl w:val="nil"/>
                  </w:tcBorders>
                  <w:shd w:val="clear" w:color="auto" w:fill="auto"/>
                  <w:vAlign w:val="center"/>
                </w:tcPr>
                <w:p w14:paraId="7C153CC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不可降解物</w:t>
                  </w:r>
                </w:p>
              </w:tc>
              <w:tc>
                <w:tcPr>
                  <w:tcW w:w="426" w:type="pct"/>
                  <w:tcBorders>
                    <w:tl2br w:val="nil"/>
                    <w:tr2bl w:val="nil"/>
                  </w:tcBorders>
                  <w:shd w:val="clear" w:color="auto" w:fill="auto"/>
                  <w:vAlign w:val="center"/>
                </w:tcPr>
                <w:p w14:paraId="7CC6A15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筛分</w:t>
                  </w:r>
                </w:p>
              </w:tc>
              <w:tc>
                <w:tcPr>
                  <w:tcW w:w="426" w:type="pct"/>
                  <w:tcBorders>
                    <w:tl2br w:val="nil"/>
                    <w:tr2bl w:val="nil"/>
                  </w:tcBorders>
                  <w:shd w:val="clear" w:color="auto" w:fill="auto"/>
                  <w:vAlign w:val="center"/>
                </w:tcPr>
                <w:p w14:paraId="52735EC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一般工业废物</w:t>
                  </w:r>
                </w:p>
              </w:tc>
              <w:tc>
                <w:tcPr>
                  <w:tcW w:w="426" w:type="pct"/>
                  <w:tcBorders>
                    <w:tl2br w:val="nil"/>
                    <w:tr2bl w:val="nil"/>
                  </w:tcBorders>
                  <w:shd w:val="clear" w:color="auto" w:fill="auto"/>
                  <w:vAlign w:val="center"/>
                </w:tcPr>
                <w:p w14:paraId="0AA5A72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固态</w:t>
                  </w:r>
                </w:p>
              </w:tc>
              <w:tc>
                <w:tcPr>
                  <w:tcW w:w="428" w:type="pct"/>
                  <w:tcBorders>
                    <w:tl2br w:val="nil"/>
                    <w:tr2bl w:val="nil"/>
                  </w:tcBorders>
                  <w:shd w:val="clear" w:color="auto" w:fill="auto"/>
                  <w:vAlign w:val="center"/>
                </w:tcPr>
                <w:p w14:paraId="71A5741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50</w:t>
                  </w:r>
                </w:p>
              </w:tc>
              <w:tc>
                <w:tcPr>
                  <w:tcW w:w="428" w:type="pct"/>
                  <w:tcBorders>
                    <w:tl2br w:val="nil"/>
                    <w:tr2bl w:val="nil"/>
                  </w:tcBorders>
                  <w:shd w:val="clear" w:color="auto" w:fill="auto"/>
                  <w:vAlign w:val="center"/>
                </w:tcPr>
                <w:p w14:paraId="7E9F4D2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SW07</w:t>
                  </w:r>
                </w:p>
              </w:tc>
              <w:tc>
                <w:tcPr>
                  <w:tcW w:w="732" w:type="pct"/>
                  <w:tcBorders>
                    <w:tl2br w:val="nil"/>
                    <w:tr2bl w:val="nil"/>
                  </w:tcBorders>
                  <w:shd w:val="clear" w:color="auto" w:fill="auto"/>
                  <w:vAlign w:val="center"/>
                </w:tcPr>
                <w:p w14:paraId="2FB3DD6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900-099-S07</w:t>
                  </w:r>
                </w:p>
              </w:tc>
              <w:tc>
                <w:tcPr>
                  <w:tcW w:w="428" w:type="pct"/>
                  <w:tcBorders>
                    <w:tl2br w:val="nil"/>
                    <w:tr2bl w:val="nil"/>
                  </w:tcBorders>
                  <w:shd w:val="clear" w:color="auto" w:fill="auto"/>
                  <w:vAlign w:val="center"/>
                </w:tcPr>
                <w:p w14:paraId="7C7C72B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金属、塑料等</w:t>
                  </w:r>
                </w:p>
              </w:tc>
              <w:tc>
                <w:tcPr>
                  <w:tcW w:w="428" w:type="pct"/>
                  <w:tcBorders>
                    <w:tl2br w:val="nil"/>
                    <w:tr2bl w:val="nil"/>
                  </w:tcBorders>
                  <w:shd w:val="clear" w:color="auto" w:fill="auto"/>
                  <w:vAlign w:val="center"/>
                </w:tcPr>
                <w:p w14:paraId="3750D48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袋装，暂存于一般工业固废间</w:t>
                  </w:r>
                </w:p>
              </w:tc>
              <w:tc>
                <w:tcPr>
                  <w:tcW w:w="426" w:type="pct"/>
                  <w:tcBorders>
                    <w:tl2br w:val="nil"/>
                    <w:tr2bl w:val="nil"/>
                  </w:tcBorders>
                  <w:shd w:val="clear" w:color="auto" w:fill="auto"/>
                  <w:vAlign w:val="center"/>
                </w:tcPr>
                <w:p w14:paraId="03FAD45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外售</w:t>
                  </w:r>
                </w:p>
              </w:tc>
            </w:tr>
            <w:tr w14:paraId="17AD498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298" w:type="pct"/>
                  <w:tcBorders>
                    <w:tl2br w:val="nil"/>
                    <w:tr2bl w:val="nil"/>
                  </w:tcBorders>
                  <w:shd w:val="clear" w:color="auto" w:fill="auto"/>
                  <w:vAlign w:val="center"/>
                </w:tcPr>
                <w:p w14:paraId="61B3D34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3</w:t>
                  </w:r>
                </w:p>
              </w:tc>
              <w:tc>
                <w:tcPr>
                  <w:tcW w:w="552" w:type="pct"/>
                  <w:tcBorders>
                    <w:tl2br w:val="nil"/>
                    <w:tr2bl w:val="nil"/>
                  </w:tcBorders>
                  <w:shd w:val="clear" w:color="auto" w:fill="auto"/>
                  <w:vAlign w:val="center"/>
                </w:tcPr>
                <w:p w14:paraId="6614BBE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废布袋</w:t>
                  </w:r>
                </w:p>
              </w:tc>
              <w:tc>
                <w:tcPr>
                  <w:tcW w:w="426" w:type="pct"/>
                  <w:tcBorders>
                    <w:tl2br w:val="nil"/>
                    <w:tr2bl w:val="nil"/>
                  </w:tcBorders>
                  <w:shd w:val="clear" w:color="auto" w:fill="auto"/>
                  <w:vAlign w:val="center"/>
                </w:tcPr>
                <w:p w14:paraId="08A88E8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废气处理</w:t>
                  </w:r>
                </w:p>
              </w:tc>
              <w:tc>
                <w:tcPr>
                  <w:tcW w:w="426" w:type="pct"/>
                  <w:tcBorders>
                    <w:tl2br w:val="nil"/>
                    <w:tr2bl w:val="nil"/>
                  </w:tcBorders>
                  <w:shd w:val="clear" w:color="auto" w:fill="auto"/>
                  <w:vAlign w:val="center"/>
                </w:tcPr>
                <w:p w14:paraId="1CAD1B7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一般工业废物</w:t>
                  </w:r>
                </w:p>
              </w:tc>
              <w:tc>
                <w:tcPr>
                  <w:tcW w:w="426" w:type="pct"/>
                  <w:tcBorders>
                    <w:tl2br w:val="nil"/>
                    <w:tr2bl w:val="nil"/>
                  </w:tcBorders>
                  <w:shd w:val="clear" w:color="auto" w:fill="auto"/>
                  <w:vAlign w:val="center"/>
                </w:tcPr>
                <w:p w14:paraId="382F4B1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固态</w:t>
                  </w:r>
                </w:p>
              </w:tc>
              <w:tc>
                <w:tcPr>
                  <w:tcW w:w="428" w:type="pct"/>
                  <w:tcBorders>
                    <w:tl2br w:val="nil"/>
                    <w:tr2bl w:val="nil"/>
                  </w:tcBorders>
                  <w:shd w:val="clear" w:color="auto" w:fill="auto"/>
                  <w:vAlign w:val="center"/>
                </w:tcPr>
                <w:p w14:paraId="5529C01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0.3</w:t>
                  </w:r>
                </w:p>
              </w:tc>
              <w:tc>
                <w:tcPr>
                  <w:tcW w:w="428" w:type="pct"/>
                  <w:tcBorders>
                    <w:tl2br w:val="nil"/>
                    <w:tr2bl w:val="nil"/>
                  </w:tcBorders>
                  <w:shd w:val="clear" w:color="auto" w:fill="auto"/>
                  <w:vAlign w:val="center"/>
                </w:tcPr>
                <w:p w14:paraId="7226B04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SW59</w:t>
                  </w:r>
                </w:p>
              </w:tc>
              <w:tc>
                <w:tcPr>
                  <w:tcW w:w="732" w:type="pct"/>
                  <w:tcBorders>
                    <w:tl2br w:val="nil"/>
                    <w:tr2bl w:val="nil"/>
                  </w:tcBorders>
                  <w:shd w:val="clear" w:color="auto" w:fill="auto"/>
                  <w:vAlign w:val="center"/>
                </w:tcPr>
                <w:p w14:paraId="2A01054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900-009-S59</w:t>
                  </w:r>
                </w:p>
              </w:tc>
              <w:tc>
                <w:tcPr>
                  <w:tcW w:w="428" w:type="pct"/>
                  <w:tcBorders>
                    <w:tl2br w:val="nil"/>
                    <w:tr2bl w:val="nil"/>
                  </w:tcBorders>
                  <w:shd w:val="clear" w:color="auto" w:fill="auto"/>
                  <w:vAlign w:val="center"/>
                </w:tcPr>
                <w:p w14:paraId="7835851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涤纶</w:t>
                  </w:r>
                </w:p>
              </w:tc>
              <w:tc>
                <w:tcPr>
                  <w:tcW w:w="428" w:type="pct"/>
                  <w:tcBorders>
                    <w:tl2br w:val="nil"/>
                    <w:tr2bl w:val="nil"/>
                  </w:tcBorders>
                  <w:shd w:val="clear" w:color="auto" w:fill="auto"/>
                  <w:vAlign w:val="center"/>
                </w:tcPr>
                <w:p w14:paraId="02242B6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袋装，暂存于一般工业固废间</w:t>
                  </w:r>
                </w:p>
              </w:tc>
              <w:tc>
                <w:tcPr>
                  <w:tcW w:w="426" w:type="pct"/>
                  <w:tcBorders>
                    <w:tl2br w:val="nil"/>
                    <w:tr2bl w:val="nil"/>
                  </w:tcBorders>
                  <w:shd w:val="clear" w:color="auto" w:fill="auto"/>
                  <w:vAlign w:val="center"/>
                </w:tcPr>
                <w:p w14:paraId="68CE20E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外售</w:t>
                  </w:r>
                </w:p>
              </w:tc>
            </w:tr>
            <w:tr w14:paraId="0B9DB77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298" w:type="pct"/>
                  <w:tcBorders>
                    <w:tl2br w:val="nil"/>
                    <w:tr2bl w:val="nil"/>
                  </w:tcBorders>
                  <w:shd w:val="clear" w:color="auto" w:fill="auto"/>
                  <w:vAlign w:val="center"/>
                </w:tcPr>
                <w:p w14:paraId="43BD1EE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4</w:t>
                  </w:r>
                </w:p>
              </w:tc>
              <w:tc>
                <w:tcPr>
                  <w:tcW w:w="552" w:type="pct"/>
                  <w:tcBorders>
                    <w:tl2br w:val="nil"/>
                    <w:tr2bl w:val="nil"/>
                  </w:tcBorders>
                  <w:shd w:val="clear" w:color="auto" w:fill="auto"/>
                  <w:vAlign w:val="center"/>
                </w:tcPr>
                <w:p w14:paraId="7EB5837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一般废包装物</w:t>
                  </w:r>
                </w:p>
              </w:tc>
              <w:tc>
                <w:tcPr>
                  <w:tcW w:w="426" w:type="pct"/>
                  <w:tcBorders>
                    <w:tl2br w:val="nil"/>
                    <w:tr2bl w:val="nil"/>
                  </w:tcBorders>
                  <w:shd w:val="clear" w:color="auto" w:fill="auto"/>
                  <w:vAlign w:val="center"/>
                </w:tcPr>
                <w:p w14:paraId="33B4DBA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物料包装</w:t>
                  </w:r>
                </w:p>
              </w:tc>
              <w:tc>
                <w:tcPr>
                  <w:tcW w:w="426" w:type="pct"/>
                  <w:tcBorders>
                    <w:tl2br w:val="nil"/>
                    <w:tr2bl w:val="nil"/>
                  </w:tcBorders>
                  <w:shd w:val="clear" w:color="auto" w:fill="auto"/>
                  <w:vAlign w:val="center"/>
                </w:tcPr>
                <w:p w14:paraId="346AD0C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一般工业废物</w:t>
                  </w:r>
                </w:p>
              </w:tc>
              <w:tc>
                <w:tcPr>
                  <w:tcW w:w="426" w:type="pct"/>
                  <w:tcBorders>
                    <w:tl2br w:val="nil"/>
                    <w:tr2bl w:val="nil"/>
                  </w:tcBorders>
                  <w:shd w:val="clear" w:color="auto" w:fill="auto"/>
                  <w:vAlign w:val="center"/>
                </w:tcPr>
                <w:p w14:paraId="41D99A0C">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固态</w:t>
                  </w:r>
                </w:p>
              </w:tc>
              <w:tc>
                <w:tcPr>
                  <w:tcW w:w="428" w:type="pct"/>
                  <w:tcBorders>
                    <w:tl2br w:val="nil"/>
                    <w:tr2bl w:val="nil"/>
                  </w:tcBorders>
                  <w:shd w:val="clear" w:color="auto" w:fill="auto"/>
                  <w:vAlign w:val="center"/>
                </w:tcPr>
                <w:p w14:paraId="61B6194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15</w:t>
                  </w:r>
                </w:p>
              </w:tc>
              <w:tc>
                <w:tcPr>
                  <w:tcW w:w="428" w:type="pct"/>
                  <w:tcBorders>
                    <w:tl2br w:val="nil"/>
                    <w:tr2bl w:val="nil"/>
                  </w:tcBorders>
                  <w:shd w:val="clear" w:color="auto" w:fill="auto"/>
                  <w:vAlign w:val="center"/>
                </w:tcPr>
                <w:p w14:paraId="2E51C77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SW59</w:t>
                  </w:r>
                </w:p>
              </w:tc>
              <w:tc>
                <w:tcPr>
                  <w:tcW w:w="732" w:type="pct"/>
                  <w:tcBorders>
                    <w:tl2br w:val="nil"/>
                    <w:tr2bl w:val="nil"/>
                  </w:tcBorders>
                  <w:shd w:val="clear" w:color="auto" w:fill="auto"/>
                  <w:vAlign w:val="center"/>
                </w:tcPr>
                <w:p w14:paraId="63B4EB3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900-099-S59</w:t>
                  </w:r>
                </w:p>
              </w:tc>
              <w:tc>
                <w:tcPr>
                  <w:tcW w:w="428" w:type="pct"/>
                  <w:tcBorders>
                    <w:tl2br w:val="nil"/>
                    <w:tr2bl w:val="nil"/>
                  </w:tcBorders>
                  <w:shd w:val="clear" w:color="auto" w:fill="auto"/>
                  <w:vAlign w:val="center"/>
                </w:tcPr>
                <w:p w14:paraId="030D8D9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纺织品</w:t>
                  </w:r>
                </w:p>
              </w:tc>
              <w:tc>
                <w:tcPr>
                  <w:tcW w:w="428" w:type="pct"/>
                  <w:tcBorders>
                    <w:tl2br w:val="nil"/>
                    <w:tr2bl w:val="nil"/>
                  </w:tcBorders>
                  <w:shd w:val="clear" w:color="auto" w:fill="auto"/>
                  <w:vAlign w:val="center"/>
                </w:tcPr>
                <w:p w14:paraId="086C99D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袋装，暂存于一般工业固废间</w:t>
                  </w:r>
                </w:p>
              </w:tc>
              <w:tc>
                <w:tcPr>
                  <w:tcW w:w="426" w:type="pct"/>
                  <w:tcBorders>
                    <w:tl2br w:val="nil"/>
                    <w:tr2bl w:val="nil"/>
                  </w:tcBorders>
                  <w:shd w:val="clear" w:color="auto" w:fill="auto"/>
                  <w:vAlign w:val="center"/>
                </w:tcPr>
                <w:p w14:paraId="0975390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外售</w:t>
                  </w:r>
                </w:p>
              </w:tc>
            </w:tr>
            <w:tr w14:paraId="0DEA4F5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298" w:type="pct"/>
                  <w:tcBorders>
                    <w:tl2br w:val="nil"/>
                    <w:tr2bl w:val="nil"/>
                  </w:tcBorders>
                  <w:shd w:val="clear" w:color="auto" w:fill="auto"/>
                  <w:vAlign w:val="center"/>
                </w:tcPr>
                <w:p w14:paraId="4A4AA25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5</w:t>
                  </w:r>
                </w:p>
              </w:tc>
              <w:tc>
                <w:tcPr>
                  <w:tcW w:w="552" w:type="pct"/>
                  <w:tcBorders>
                    <w:tl2br w:val="nil"/>
                    <w:tr2bl w:val="nil"/>
                  </w:tcBorders>
                  <w:shd w:val="clear" w:color="auto" w:fill="auto"/>
                  <w:vAlign w:val="center"/>
                </w:tcPr>
                <w:p w14:paraId="0A15E1A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废机油</w:t>
                  </w:r>
                </w:p>
              </w:tc>
              <w:tc>
                <w:tcPr>
                  <w:tcW w:w="426" w:type="pct"/>
                  <w:tcBorders>
                    <w:tl2br w:val="nil"/>
                    <w:tr2bl w:val="nil"/>
                  </w:tcBorders>
                  <w:shd w:val="clear" w:color="auto" w:fill="auto"/>
                  <w:vAlign w:val="center"/>
                </w:tcPr>
                <w:p w14:paraId="189E669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生产设备维修</w:t>
                  </w:r>
                </w:p>
              </w:tc>
              <w:tc>
                <w:tcPr>
                  <w:tcW w:w="426" w:type="pct"/>
                  <w:tcBorders>
                    <w:tl2br w:val="nil"/>
                    <w:tr2bl w:val="nil"/>
                  </w:tcBorders>
                  <w:shd w:val="clear" w:color="auto" w:fill="auto"/>
                  <w:vAlign w:val="center"/>
                </w:tcPr>
                <w:p w14:paraId="35A32A6E">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危险废物</w:t>
                  </w:r>
                </w:p>
              </w:tc>
              <w:tc>
                <w:tcPr>
                  <w:tcW w:w="426" w:type="pct"/>
                  <w:tcBorders>
                    <w:tl2br w:val="nil"/>
                    <w:tr2bl w:val="nil"/>
                  </w:tcBorders>
                  <w:shd w:val="clear" w:color="auto" w:fill="auto"/>
                  <w:vAlign w:val="center"/>
                </w:tcPr>
                <w:p w14:paraId="1206AA9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液态</w:t>
                  </w:r>
                </w:p>
              </w:tc>
              <w:tc>
                <w:tcPr>
                  <w:tcW w:w="428" w:type="pct"/>
                  <w:tcBorders>
                    <w:tl2br w:val="nil"/>
                    <w:tr2bl w:val="nil"/>
                  </w:tcBorders>
                  <w:shd w:val="clear" w:color="auto" w:fill="auto"/>
                  <w:vAlign w:val="center"/>
                </w:tcPr>
                <w:p w14:paraId="76937B6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0.1</w:t>
                  </w:r>
                </w:p>
              </w:tc>
              <w:tc>
                <w:tcPr>
                  <w:tcW w:w="428" w:type="pct"/>
                  <w:tcBorders>
                    <w:tl2br w:val="nil"/>
                    <w:tr2bl w:val="nil"/>
                  </w:tcBorders>
                  <w:shd w:val="clear" w:color="auto" w:fill="auto"/>
                  <w:vAlign w:val="center"/>
                </w:tcPr>
                <w:p w14:paraId="3CBD9037">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HW08</w:t>
                  </w:r>
                </w:p>
              </w:tc>
              <w:tc>
                <w:tcPr>
                  <w:tcW w:w="732" w:type="pct"/>
                  <w:tcBorders>
                    <w:tl2br w:val="nil"/>
                    <w:tr2bl w:val="nil"/>
                  </w:tcBorders>
                  <w:shd w:val="clear" w:color="auto" w:fill="auto"/>
                  <w:vAlign w:val="center"/>
                </w:tcPr>
                <w:p w14:paraId="0714393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900-217-08</w:t>
                  </w:r>
                </w:p>
              </w:tc>
              <w:tc>
                <w:tcPr>
                  <w:tcW w:w="428" w:type="pct"/>
                  <w:tcBorders>
                    <w:tl2br w:val="nil"/>
                    <w:tr2bl w:val="nil"/>
                  </w:tcBorders>
                  <w:shd w:val="clear" w:color="auto" w:fill="auto"/>
                  <w:vAlign w:val="center"/>
                </w:tcPr>
                <w:p w14:paraId="6E15B04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废矿物油等</w:t>
                  </w:r>
                </w:p>
              </w:tc>
              <w:tc>
                <w:tcPr>
                  <w:tcW w:w="428" w:type="pct"/>
                  <w:tcBorders>
                    <w:tl2br w:val="nil"/>
                    <w:tr2bl w:val="nil"/>
                  </w:tcBorders>
                  <w:shd w:val="clear" w:color="auto" w:fill="auto"/>
                  <w:vAlign w:val="center"/>
                </w:tcPr>
                <w:p w14:paraId="4ABC050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桶装，暂存于危废仓库</w:t>
                  </w:r>
                </w:p>
              </w:tc>
              <w:tc>
                <w:tcPr>
                  <w:tcW w:w="426" w:type="pct"/>
                  <w:tcBorders>
                    <w:tl2br w:val="nil"/>
                    <w:tr2bl w:val="nil"/>
                  </w:tcBorders>
                  <w:shd w:val="clear" w:color="auto" w:fill="auto"/>
                  <w:vAlign w:val="center"/>
                </w:tcPr>
                <w:p w14:paraId="001F7BF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委外处置</w:t>
                  </w:r>
                </w:p>
              </w:tc>
            </w:tr>
            <w:tr w14:paraId="2E85D8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298" w:type="pct"/>
                  <w:tcBorders>
                    <w:tl2br w:val="nil"/>
                    <w:tr2bl w:val="nil"/>
                  </w:tcBorders>
                  <w:shd w:val="clear" w:color="auto" w:fill="auto"/>
                  <w:vAlign w:val="center"/>
                </w:tcPr>
                <w:p w14:paraId="5B2BDA3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6</w:t>
                  </w:r>
                </w:p>
              </w:tc>
              <w:tc>
                <w:tcPr>
                  <w:tcW w:w="552" w:type="pct"/>
                  <w:tcBorders>
                    <w:tl2br w:val="nil"/>
                    <w:tr2bl w:val="nil"/>
                  </w:tcBorders>
                  <w:shd w:val="clear" w:color="auto" w:fill="auto"/>
                  <w:vAlign w:val="center"/>
                </w:tcPr>
                <w:p w14:paraId="767048E3">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废油桶</w:t>
                  </w:r>
                </w:p>
              </w:tc>
              <w:tc>
                <w:tcPr>
                  <w:tcW w:w="426" w:type="pct"/>
                  <w:tcBorders>
                    <w:tl2br w:val="nil"/>
                    <w:tr2bl w:val="nil"/>
                  </w:tcBorders>
                  <w:shd w:val="clear" w:color="auto" w:fill="auto"/>
                  <w:vAlign w:val="center"/>
                </w:tcPr>
                <w:p w14:paraId="6D02D75A">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生产设备维修</w:t>
                  </w:r>
                </w:p>
              </w:tc>
              <w:tc>
                <w:tcPr>
                  <w:tcW w:w="426" w:type="pct"/>
                  <w:tcBorders>
                    <w:tl2br w:val="nil"/>
                    <w:tr2bl w:val="nil"/>
                  </w:tcBorders>
                  <w:shd w:val="clear" w:color="auto" w:fill="auto"/>
                  <w:vAlign w:val="center"/>
                </w:tcPr>
                <w:p w14:paraId="237CF3B9">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危险废物</w:t>
                  </w:r>
                </w:p>
              </w:tc>
              <w:tc>
                <w:tcPr>
                  <w:tcW w:w="426" w:type="pct"/>
                  <w:tcBorders>
                    <w:tl2br w:val="nil"/>
                    <w:tr2bl w:val="nil"/>
                  </w:tcBorders>
                  <w:shd w:val="clear" w:color="auto" w:fill="auto"/>
                  <w:vAlign w:val="center"/>
                </w:tcPr>
                <w:p w14:paraId="71798C58">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固态</w:t>
                  </w:r>
                </w:p>
              </w:tc>
              <w:tc>
                <w:tcPr>
                  <w:tcW w:w="428" w:type="pct"/>
                  <w:tcBorders>
                    <w:tl2br w:val="nil"/>
                    <w:tr2bl w:val="nil"/>
                  </w:tcBorders>
                  <w:shd w:val="clear" w:color="auto" w:fill="auto"/>
                  <w:vAlign w:val="center"/>
                </w:tcPr>
                <w:p w14:paraId="1C370E6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0.05</w:t>
                  </w:r>
                </w:p>
              </w:tc>
              <w:tc>
                <w:tcPr>
                  <w:tcW w:w="428" w:type="pct"/>
                  <w:tcBorders>
                    <w:tl2br w:val="nil"/>
                    <w:tr2bl w:val="nil"/>
                  </w:tcBorders>
                  <w:shd w:val="clear" w:color="auto" w:fill="auto"/>
                  <w:vAlign w:val="center"/>
                </w:tcPr>
                <w:p w14:paraId="095D492B">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snapToGrid w:val="0"/>
                      <w:color w:val="000000"/>
                      <w:kern w:val="0"/>
                      <w:sz w:val="18"/>
                      <w:szCs w:val="18"/>
                      <w:u w:val="none"/>
                      <w:lang w:val="en-US" w:eastAsia="zh-CN" w:bidi="ar"/>
                    </w:rPr>
                    <w:t>HW08</w:t>
                  </w:r>
                </w:p>
              </w:tc>
              <w:tc>
                <w:tcPr>
                  <w:tcW w:w="732" w:type="pct"/>
                  <w:tcBorders>
                    <w:tl2br w:val="nil"/>
                    <w:tr2bl w:val="nil"/>
                  </w:tcBorders>
                  <w:shd w:val="clear" w:color="auto" w:fill="auto"/>
                  <w:vAlign w:val="center"/>
                </w:tcPr>
                <w:p w14:paraId="7EFA0DD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900-249-08</w:t>
                  </w:r>
                </w:p>
              </w:tc>
              <w:tc>
                <w:tcPr>
                  <w:tcW w:w="428" w:type="pct"/>
                  <w:tcBorders>
                    <w:tl2br w:val="nil"/>
                    <w:tr2bl w:val="nil"/>
                  </w:tcBorders>
                  <w:shd w:val="clear" w:color="auto" w:fill="auto"/>
                  <w:vAlign w:val="center"/>
                </w:tcPr>
                <w:p w14:paraId="413BE3C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废矿物油等</w:t>
                  </w:r>
                </w:p>
              </w:tc>
              <w:tc>
                <w:tcPr>
                  <w:tcW w:w="428" w:type="pct"/>
                  <w:tcBorders>
                    <w:tl2br w:val="nil"/>
                    <w:tr2bl w:val="nil"/>
                  </w:tcBorders>
                  <w:shd w:val="clear" w:color="auto" w:fill="auto"/>
                  <w:vAlign w:val="center"/>
                </w:tcPr>
                <w:p w14:paraId="4BC283C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w:t>
                  </w:r>
                </w:p>
              </w:tc>
              <w:tc>
                <w:tcPr>
                  <w:tcW w:w="426" w:type="pct"/>
                  <w:tcBorders>
                    <w:tl2br w:val="nil"/>
                    <w:tr2bl w:val="nil"/>
                  </w:tcBorders>
                  <w:shd w:val="clear" w:color="auto" w:fill="auto"/>
                  <w:vAlign w:val="center"/>
                </w:tcPr>
                <w:p w14:paraId="54A7902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委外处置</w:t>
                  </w:r>
                </w:p>
              </w:tc>
            </w:tr>
            <w:tr w14:paraId="38DA209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298" w:type="pct"/>
                  <w:tcBorders>
                    <w:tl2br w:val="nil"/>
                    <w:tr2bl w:val="nil"/>
                  </w:tcBorders>
                  <w:shd w:val="clear" w:color="auto" w:fill="auto"/>
                  <w:vAlign w:val="center"/>
                </w:tcPr>
                <w:p w14:paraId="3B921C4F">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7</w:t>
                  </w:r>
                </w:p>
              </w:tc>
              <w:tc>
                <w:tcPr>
                  <w:tcW w:w="552" w:type="pct"/>
                  <w:tcBorders>
                    <w:tl2br w:val="nil"/>
                    <w:tr2bl w:val="nil"/>
                  </w:tcBorders>
                  <w:shd w:val="clear" w:color="auto" w:fill="auto"/>
                  <w:vAlign w:val="center"/>
                </w:tcPr>
                <w:p w14:paraId="2567A3E4">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废含油抹布及手套</w:t>
                  </w:r>
                </w:p>
              </w:tc>
              <w:tc>
                <w:tcPr>
                  <w:tcW w:w="426" w:type="pct"/>
                  <w:tcBorders>
                    <w:tl2br w:val="nil"/>
                    <w:tr2bl w:val="nil"/>
                  </w:tcBorders>
                  <w:shd w:val="clear" w:color="auto" w:fill="auto"/>
                  <w:vAlign w:val="center"/>
                </w:tcPr>
                <w:p w14:paraId="2978A322">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生产设备维修</w:t>
                  </w:r>
                </w:p>
              </w:tc>
              <w:tc>
                <w:tcPr>
                  <w:tcW w:w="426" w:type="pct"/>
                  <w:tcBorders>
                    <w:tl2br w:val="nil"/>
                    <w:tr2bl w:val="nil"/>
                  </w:tcBorders>
                  <w:shd w:val="clear" w:color="auto" w:fill="auto"/>
                  <w:vAlign w:val="center"/>
                </w:tcPr>
                <w:p w14:paraId="269F01F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危险废物</w:t>
                  </w:r>
                </w:p>
              </w:tc>
              <w:tc>
                <w:tcPr>
                  <w:tcW w:w="426" w:type="pct"/>
                  <w:tcBorders>
                    <w:tl2br w:val="nil"/>
                    <w:tr2bl w:val="nil"/>
                  </w:tcBorders>
                  <w:shd w:val="clear" w:color="auto" w:fill="auto"/>
                  <w:vAlign w:val="center"/>
                </w:tcPr>
                <w:p w14:paraId="547BECBD">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固态</w:t>
                  </w:r>
                </w:p>
              </w:tc>
              <w:tc>
                <w:tcPr>
                  <w:tcW w:w="428" w:type="pct"/>
                  <w:tcBorders>
                    <w:tl2br w:val="nil"/>
                    <w:tr2bl w:val="nil"/>
                  </w:tcBorders>
                  <w:shd w:val="clear" w:color="auto" w:fill="auto"/>
                  <w:vAlign w:val="center"/>
                </w:tcPr>
                <w:p w14:paraId="3ABAF20B">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0.02</w:t>
                  </w:r>
                </w:p>
              </w:tc>
              <w:tc>
                <w:tcPr>
                  <w:tcW w:w="428" w:type="pct"/>
                  <w:tcBorders>
                    <w:tl2br w:val="nil"/>
                    <w:tr2bl w:val="nil"/>
                  </w:tcBorders>
                  <w:shd w:val="clear" w:color="auto" w:fill="auto"/>
                  <w:vAlign w:val="center"/>
                </w:tcPr>
                <w:p w14:paraId="01FFE00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HW49</w:t>
                  </w:r>
                </w:p>
              </w:tc>
              <w:tc>
                <w:tcPr>
                  <w:tcW w:w="732" w:type="pct"/>
                  <w:tcBorders>
                    <w:tl2br w:val="nil"/>
                    <w:tr2bl w:val="nil"/>
                  </w:tcBorders>
                  <w:shd w:val="clear" w:color="auto" w:fill="auto"/>
                  <w:vAlign w:val="center"/>
                </w:tcPr>
                <w:p w14:paraId="2F9AFE11">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900-041-49</w:t>
                  </w:r>
                </w:p>
              </w:tc>
              <w:tc>
                <w:tcPr>
                  <w:tcW w:w="428" w:type="pct"/>
                  <w:tcBorders>
                    <w:tl2br w:val="nil"/>
                    <w:tr2bl w:val="nil"/>
                  </w:tcBorders>
                  <w:shd w:val="clear" w:color="auto" w:fill="auto"/>
                  <w:vAlign w:val="center"/>
                </w:tcPr>
                <w:p w14:paraId="104F35A5">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废矿物油、纺织物等</w:t>
                  </w:r>
                </w:p>
              </w:tc>
              <w:tc>
                <w:tcPr>
                  <w:tcW w:w="428" w:type="pct"/>
                  <w:tcBorders>
                    <w:tl2br w:val="nil"/>
                    <w:tr2bl w:val="nil"/>
                  </w:tcBorders>
                  <w:shd w:val="clear" w:color="auto" w:fill="auto"/>
                  <w:vAlign w:val="center"/>
                </w:tcPr>
                <w:p w14:paraId="75D8F806">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袋装，暂存于危废仓库</w:t>
                  </w:r>
                </w:p>
              </w:tc>
              <w:tc>
                <w:tcPr>
                  <w:tcW w:w="426" w:type="pct"/>
                  <w:tcBorders>
                    <w:tl2br w:val="nil"/>
                    <w:tr2bl w:val="nil"/>
                  </w:tcBorders>
                  <w:shd w:val="clear" w:color="auto" w:fill="auto"/>
                  <w:vAlign w:val="center"/>
                </w:tcPr>
                <w:p w14:paraId="4511C2E0">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snapToGrid w:val="0"/>
                      <w:color w:val="000000"/>
                      <w:kern w:val="0"/>
                      <w:sz w:val="18"/>
                      <w:szCs w:val="18"/>
                      <w:u w:val="none"/>
                      <w:lang w:val="en-US" w:eastAsia="zh-CN" w:bidi="ar"/>
                    </w:rPr>
                    <w:t>委外处置</w:t>
                  </w:r>
                </w:p>
              </w:tc>
            </w:tr>
          </w:tbl>
          <w:p w14:paraId="30B7DEE6">
            <w:pPr>
              <w:keepNext w:val="0"/>
              <w:keepLines w:val="0"/>
              <w:pageBreakBefore w:val="0"/>
              <w:widowControl/>
              <w:kinsoku/>
              <w:wordWrap/>
              <w:overflowPunct/>
              <w:topLinePunct w:val="0"/>
              <w:autoSpaceDE/>
              <w:autoSpaceDN/>
              <w:bidi w:val="0"/>
              <w:adjustRightInd w:val="0"/>
              <w:snapToGrid w:val="0"/>
              <w:spacing w:line="240" w:lineRule="auto"/>
              <w:ind w:firstLine="620" w:firstLineChars="294"/>
              <w:jc w:val="center"/>
              <w:textAlignment w:val="auto"/>
              <w:rPr>
                <w:rFonts w:hint="eastAsia" w:ascii="仿宋" w:hAnsi="仿宋" w:eastAsia="仿宋" w:cs="仿宋"/>
                <w:b/>
                <w:bCs/>
                <w:snapToGrid w:val="0"/>
                <w:color w:val="auto"/>
                <w:spacing w:val="0"/>
                <w:w w:val="100"/>
                <w:kern w:val="0"/>
                <w:sz w:val="21"/>
                <w:szCs w:val="21"/>
                <w:lang w:val="en-US" w:eastAsia="zh-CN" w:bidi="ar-SA"/>
              </w:rPr>
            </w:pPr>
          </w:p>
          <w:p w14:paraId="045CB01C">
            <w:pPr>
              <w:keepNext w:val="0"/>
              <w:keepLines w:val="0"/>
              <w:pageBreakBefore w:val="0"/>
              <w:widowControl/>
              <w:kinsoku/>
              <w:wordWrap/>
              <w:overflowPunct/>
              <w:topLinePunct w:val="0"/>
              <w:autoSpaceDE/>
              <w:autoSpaceDN/>
              <w:bidi w:val="0"/>
              <w:adjustRightInd w:val="0"/>
              <w:snapToGrid w:val="0"/>
              <w:spacing w:line="240" w:lineRule="auto"/>
              <w:ind w:firstLine="620" w:firstLineChars="294"/>
              <w:jc w:val="center"/>
              <w:textAlignment w:val="auto"/>
              <w:rPr>
                <w:rFonts w:hint="eastAsia" w:ascii="仿宋" w:hAnsi="仿宋" w:eastAsia="仿宋" w:cs="仿宋"/>
                <w:b/>
                <w:bCs/>
                <w:snapToGrid w:val="0"/>
                <w:color w:val="auto"/>
                <w:spacing w:val="0"/>
                <w:w w:val="100"/>
                <w:kern w:val="0"/>
                <w:sz w:val="21"/>
                <w:szCs w:val="21"/>
                <w:lang w:val="en-US" w:eastAsia="zh-CN" w:bidi="ar-SA"/>
              </w:rPr>
            </w:pPr>
            <w:r>
              <w:rPr>
                <w:rFonts w:hint="eastAsia" w:ascii="仿宋" w:hAnsi="仿宋" w:eastAsia="仿宋" w:cs="仿宋"/>
                <w:b/>
                <w:bCs/>
                <w:snapToGrid w:val="0"/>
                <w:color w:val="auto"/>
                <w:spacing w:val="0"/>
                <w:w w:val="100"/>
                <w:kern w:val="0"/>
                <w:sz w:val="21"/>
                <w:szCs w:val="21"/>
                <w:lang w:val="en-US" w:eastAsia="zh-CN" w:bidi="ar-SA"/>
              </w:rPr>
              <w:t>表</w:t>
            </w:r>
            <w:r>
              <w:rPr>
                <w:rFonts w:hint="eastAsia" w:ascii="仿宋" w:hAnsi="仿宋" w:eastAsia="仿宋" w:cs="仿宋"/>
                <w:b/>
                <w:bCs/>
                <w:snapToGrid/>
                <w:color w:val="auto"/>
                <w:spacing w:val="0"/>
                <w:w w:val="100"/>
                <w:sz w:val="21"/>
                <w:szCs w:val="21"/>
                <w:lang w:val="en-US" w:eastAsia="zh-CN" w:bidi="ar-SA"/>
              </w:rPr>
              <w:t>4-19</w:t>
            </w:r>
            <w:r>
              <w:rPr>
                <w:rFonts w:hint="eastAsia" w:ascii="仿宋" w:hAnsi="仿宋" w:eastAsia="仿宋" w:cs="仿宋"/>
                <w:b/>
                <w:bCs/>
                <w:snapToGrid w:val="0"/>
                <w:color w:val="auto"/>
                <w:spacing w:val="0"/>
                <w:w w:val="100"/>
                <w:kern w:val="0"/>
                <w:sz w:val="21"/>
                <w:szCs w:val="21"/>
                <w:lang w:val="en-US" w:eastAsia="zh-CN" w:bidi="ar-SA"/>
              </w:rPr>
              <w:t xml:space="preserve">  项目危险废物汇总表</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08"/>
              <w:gridCol w:w="808"/>
              <w:gridCol w:w="1251"/>
              <w:gridCol w:w="1029"/>
              <w:gridCol w:w="1478"/>
              <w:gridCol w:w="785"/>
              <w:gridCol w:w="883"/>
              <w:gridCol w:w="1200"/>
            </w:tblGrid>
            <w:tr w14:paraId="10DF4D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490" w:type="pct"/>
                  <w:tcBorders>
                    <w:tl2br w:val="nil"/>
                    <w:tr2bl w:val="nil"/>
                  </w:tcBorders>
                  <w:shd w:val="clear" w:color="auto" w:fill="auto"/>
                  <w:vAlign w:val="center"/>
                </w:tcPr>
                <w:p w14:paraId="753F2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危险废物名称</w:t>
                  </w:r>
                </w:p>
              </w:tc>
              <w:tc>
                <w:tcPr>
                  <w:tcW w:w="490" w:type="pct"/>
                  <w:tcBorders>
                    <w:tl2br w:val="nil"/>
                    <w:tr2bl w:val="nil"/>
                  </w:tcBorders>
                  <w:shd w:val="clear" w:color="auto" w:fill="auto"/>
                  <w:vAlign w:val="center"/>
                </w:tcPr>
                <w:p w14:paraId="00088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危险废物类别</w:t>
                  </w:r>
                </w:p>
              </w:tc>
              <w:tc>
                <w:tcPr>
                  <w:tcW w:w="758" w:type="pct"/>
                  <w:tcBorders>
                    <w:tl2br w:val="nil"/>
                    <w:tr2bl w:val="nil"/>
                  </w:tcBorders>
                  <w:shd w:val="clear" w:color="auto" w:fill="auto"/>
                  <w:vAlign w:val="center"/>
                </w:tcPr>
                <w:p w14:paraId="7D770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危险废物代码</w:t>
                  </w:r>
                </w:p>
              </w:tc>
              <w:tc>
                <w:tcPr>
                  <w:tcW w:w="624" w:type="pct"/>
                  <w:tcBorders>
                    <w:tl2br w:val="nil"/>
                    <w:tr2bl w:val="nil"/>
                  </w:tcBorders>
                  <w:shd w:val="clear" w:color="auto" w:fill="auto"/>
                  <w:vAlign w:val="center"/>
                </w:tcPr>
                <w:p w14:paraId="7E76C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产生量（t/a）</w:t>
                  </w:r>
                </w:p>
              </w:tc>
              <w:tc>
                <w:tcPr>
                  <w:tcW w:w="896" w:type="pct"/>
                  <w:tcBorders>
                    <w:tl2br w:val="nil"/>
                    <w:tr2bl w:val="nil"/>
                  </w:tcBorders>
                  <w:shd w:val="clear" w:color="auto" w:fill="auto"/>
                  <w:vAlign w:val="center"/>
                </w:tcPr>
                <w:p w14:paraId="58CBBD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有害成分</w:t>
                  </w:r>
                </w:p>
              </w:tc>
              <w:tc>
                <w:tcPr>
                  <w:tcW w:w="476" w:type="pct"/>
                  <w:tcBorders>
                    <w:tl2br w:val="nil"/>
                    <w:tr2bl w:val="nil"/>
                  </w:tcBorders>
                  <w:shd w:val="clear" w:color="auto" w:fill="auto"/>
                  <w:vAlign w:val="center"/>
                </w:tcPr>
                <w:p w14:paraId="2E06D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产废周期</w:t>
                  </w:r>
                </w:p>
              </w:tc>
              <w:tc>
                <w:tcPr>
                  <w:tcW w:w="535" w:type="pct"/>
                  <w:tcBorders>
                    <w:tl2br w:val="nil"/>
                    <w:tr2bl w:val="nil"/>
                  </w:tcBorders>
                  <w:shd w:val="clear" w:color="auto" w:fill="auto"/>
                  <w:vAlign w:val="center"/>
                </w:tcPr>
                <w:p w14:paraId="5B27A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危险特性</w:t>
                  </w:r>
                </w:p>
              </w:tc>
              <w:tc>
                <w:tcPr>
                  <w:tcW w:w="727" w:type="pct"/>
                  <w:tcBorders>
                    <w:tl2br w:val="nil"/>
                    <w:tr2bl w:val="nil"/>
                  </w:tcBorders>
                  <w:shd w:val="clear" w:color="auto" w:fill="auto"/>
                  <w:vAlign w:val="center"/>
                </w:tcPr>
                <w:p w14:paraId="6FAEB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污染防治措施</w:t>
                  </w:r>
                </w:p>
              </w:tc>
            </w:tr>
            <w:tr w14:paraId="102B0F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490" w:type="pct"/>
                  <w:tcBorders>
                    <w:tl2br w:val="nil"/>
                    <w:tr2bl w:val="nil"/>
                  </w:tcBorders>
                  <w:shd w:val="clear" w:color="auto" w:fill="auto"/>
                  <w:vAlign w:val="center"/>
                </w:tcPr>
                <w:p w14:paraId="3FD34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废机油</w:t>
                  </w:r>
                </w:p>
              </w:tc>
              <w:tc>
                <w:tcPr>
                  <w:tcW w:w="490" w:type="pct"/>
                  <w:tcBorders>
                    <w:tl2br w:val="nil"/>
                    <w:tr2bl w:val="nil"/>
                  </w:tcBorders>
                  <w:shd w:val="clear" w:color="auto" w:fill="auto"/>
                  <w:vAlign w:val="center"/>
                </w:tcPr>
                <w:p w14:paraId="42A69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HW08</w:t>
                  </w:r>
                </w:p>
              </w:tc>
              <w:tc>
                <w:tcPr>
                  <w:tcW w:w="758" w:type="pct"/>
                  <w:tcBorders>
                    <w:tl2br w:val="nil"/>
                    <w:tr2bl w:val="nil"/>
                  </w:tcBorders>
                  <w:shd w:val="clear" w:color="auto" w:fill="auto"/>
                  <w:vAlign w:val="center"/>
                </w:tcPr>
                <w:p w14:paraId="3DCF6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900-217-08</w:t>
                  </w:r>
                </w:p>
              </w:tc>
              <w:tc>
                <w:tcPr>
                  <w:tcW w:w="624" w:type="pct"/>
                  <w:tcBorders>
                    <w:tl2br w:val="nil"/>
                    <w:tr2bl w:val="nil"/>
                  </w:tcBorders>
                  <w:shd w:val="clear" w:color="auto" w:fill="auto"/>
                  <w:vAlign w:val="center"/>
                </w:tcPr>
                <w:p w14:paraId="787D93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w:t>
                  </w:r>
                </w:p>
              </w:tc>
              <w:tc>
                <w:tcPr>
                  <w:tcW w:w="896" w:type="pct"/>
                  <w:tcBorders>
                    <w:tl2br w:val="nil"/>
                    <w:tr2bl w:val="nil"/>
                  </w:tcBorders>
                  <w:shd w:val="clear" w:color="auto" w:fill="auto"/>
                  <w:vAlign w:val="center"/>
                </w:tcPr>
                <w:p w14:paraId="24939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废矿物油</w:t>
                  </w:r>
                </w:p>
              </w:tc>
              <w:tc>
                <w:tcPr>
                  <w:tcW w:w="476" w:type="pct"/>
                  <w:tcBorders>
                    <w:tl2br w:val="nil"/>
                    <w:tr2bl w:val="nil"/>
                  </w:tcBorders>
                  <w:shd w:val="clear" w:color="auto" w:fill="auto"/>
                  <w:vAlign w:val="center"/>
                </w:tcPr>
                <w:p w14:paraId="446D09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每个生产周期</w:t>
                  </w:r>
                </w:p>
              </w:tc>
              <w:tc>
                <w:tcPr>
                  <w:tcW w:w="535" w:type="pct"/>
                  <w:tcBorders>
                    <w:tl2br w:val="nil"/>
                    <w:tr2bl w:val="nil"/>
                  </w:tcBorders>
                  <w:shd w:val="clear" w:color="auto" w:fill="auto"/>
                  <w:vAlign w:val="center"/>
                </w:tcPr>
                <w:p w14:paraId="3EE71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T，I</w:t>
                  </w:r>
                </w:p>
              </w:tc>
              <w:tc>
                <w:tcPr>
                  <w:tcW w:w="727" w:type="pct"/>
                  <w:vMerge w:val="restart"/>
                  <w:tcBorders>
                    <w:tl2br w:val="nil"/>
                    <w:tr2bl w:val="nil"/>
                  </w:tcBorders>
                  <w:shd w:val="clear" w:color="auto" w:fill="auto"/>
                  <w:vAlign w:val="center"/>
                </w:tcPr>
                <w:p w14:paraId="177BE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集中收集后暂存于危废仓库，定期交由资质单位处置</w:t>
                  </w:r>
                </w:p>
              </w:tc>
            </w:tr>
            <w:tr w14:paraId="06E4F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490" w:type="pct"/>
                  <w:tcBorders>
                    <w:tl2br w:val="nil"/>
                    <w:tr2bl w:val="nil"/>
                  </w:tcBorders>
                  <w:shd w:val="clear" w:color="auto" w:fill="auto"/>
                  <w:vAlign w:val="center"/>
                </w:tcPr>
                <w:p w14:paraId="3B796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废油桶</w:t>
                  </w:r>
                </w:p>
              </w:tc>
              <w:tc>
                <w:tcPr>
                  <w:tcW w:w="490" w:type="pct"/>
                  <w:tcBorders>
                    <w:tl2br w:val="nil"/>
                    <w:tr2bl w:val="nil"/>
                  </w:tcBorders>
                  <w:shd w:val="clear" w:color="auto" w:fill="auto"/>
                  <w:vAlign w:val="center"/>
                </w:tcPr>
                <w:p w14:paraId="510F8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HW08</w:t>
                  </w:r>
                </w:p>
              </w:tc>
              <w:tc>
                <w:tcPr>
                  <w:tcW w:w="758" w:type="pct"/>
                  <w:tcBorders>
                    <w:tl2br w:val="nil"/>
                    <w:tr2bl w:val="nil"/>
                  </w:tcBorders>
                  <w:shd w:val="clear" w:color="auto" w:fill="auto"/>
                  <w:vAlign w:val="center"/>
                </w:tcPr>
                <w:p w14:paraId="4CD0E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900-249-08</w:t>
                  </w:r>
                </w:p>
              </w:tc>
              <w:tc>
                <w:tcPr>
                  <w:tcW w:w="624" w:type="pct"/>
                  <w:tcBorders>
                    <w:tl2br w:val="nil"/>
                    <w:tr2bl w:val="nil"/>
                  </w:tcBorders>
                  <w:shd w:val="clear" w:color="auto" w:fill="auto"/>
                  <w:vAlign w:val="center"/>
                </w:tcPr>
                <w:p w14:paraId="043ED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c>
                <w:tcPr>
                  <w:tcW w:w="896" w:type="pct"/>
                  <w:tcBorders>
                    <w:tl2br w:val="nil"/>
                    <w:tr2bl w:val="nil"/>
                  </w:tcBorders>
                  <w:shd w:val="clear" w:color="auto" w:fill="auto"/>
                  <w:vAlign w:val="center"/>
                </w:tcPr>
                <w:p w14:paraId="1757E5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废矿物油</w:t>
                  </w:r>
                </w:p>
              </w:tc>
              <w:tc>
                <w:tcPr>
                  <w:tcW w:w="476" w:type="pct"/>
                  <w:tcBorders>
                    <w:tl2br w:val="nil"/>
                    <w:tr2bl w:val="nil"/>
                  </w:tcBorders>
                  <w:shd w:val="clear" w:color="auto" w:fill="auto"/>
                  <w:vAlign w:val="center"/>
                </w:tcPr>
                <w:p w14:paraId="3DE46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每个生产周期</w:t>
                  </w:r>
                </w:p>
              </w:tc>
              <w:tc>
                <w:tcPr>
                  <w:tcW w:w="535" w:type="pct"/>
                  <w:tcBorders>
                    <w:tl2br w:val="nil"/>
                    <w:tr2bl w:val="nil"/>
                  </w:tcBorders>
                  <w:shd w:val="clear" w:color="auto" w:fill="auto"/>
                  <w:vAlign w:val="center"/>
                </w:tcPr>
                <w:p w14:paraId="7A5C5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T，I</w:t>
                  </w:r>
                </w:p>
              </w:tc>
              <w:tc>
                <w:tcPr>
                  <w:tcW w:w="727" w:type="pct"/>
                  <w:vMerge w:val="continue"/>
                  <w:tcBorders>
                    <w:tl2br w:val="nil"/>
                    <w:tr2bl w:val="nil"/>
                  </w:tcBorders>
                  <w:shd w:val="clear" w:color="auto" w:fill="auto"/>
                  <w:vAlign w:val="center"/>
                </w:tcPr>
                <w:p w14:paraId="2608BA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r>
            <w:tr w14:paraId="69B670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490" w:type="pct"/>
                  <w:tcBorders>
                    <w:tl2br w:val="nil"/>
                    <w:tr2bl w:val="nil"/>
                  </w:tcBorders>
                  <w:shd w:val="clear" w:color="auto" w:fill="auto"/>
                  <w:vAlign w:val="center"/>
                </w:tcPr>
                <w:p w14:paraId="51BCD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废含油抹布及手套</w:t>
                  </w:r>
                </w:p>
              </w:tc>
              <w:tc>
                <w:tcPr>
                  <w:tcW w:w="490" w:type="pct"/>
                  <w:tcBorders>
                    <w:tl2br w:val="nil"/>
                    <w:tr2bl w:val="nil"/>
                  </w:tcBorders>
                  <w:shd w:val="clear" w:color="auto" w:fill="auto"/>
                  <w:vAlign w:val="center"/>
                </w:tcPr>
                <w:p w14:paraId="2F57B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HW49</w:t>
                  </w:r>
                </w:p>
              </w:tc>
              <w:tc>
                <w:tcPr>
                  <w:tcW w:w="758" w:type="pct"/>
                  <w:tcBorders>
                    <w:tl2br w:val="nil"/>
                    <w:tr2bl w:val="nil"/>
                  </w:tcBorders>
                  <w:shd w:val="clear" w:color="auto" w:fill="auto"/>
                  <w:vAlign w:val="center"/>
                </w:tcPr>
                <w:p w14:paraId="0DB90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900-041-49</w:t>
                  </w:r>
                </w:p>
              </w:tc>
              <w:tc>
                <w:tcPr>
                  <w:tcW w:w="624" w:type="pct"/>
                  <w:tcBorders>
                    <w:tl2br w:val="nil"/>
                    <w:tr2bl w:val="nil"/>
                  </w:tcBorders>
                  <w:shd w:val="clear" w:color="auto" w:fill="auto"/>
                  <w:vAlign w:val="center"/>
                </w:tcPr>
                <w:p w14:paraId="306F2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0.02</w:t>
                  </w:r>
                </w:p>
              </w:tc>
              <w:tc>
                <w:tcPr>
                  <w:tcW w:w="896" w:type="pct"/>
                  <w:tcBorders>
                    <w:tl2br w:val="nil"/>
                    <w:tr2bl w:val="nil"/>
                  </w:tcBorders>
                  <w:shd w:val="clear" w:color="auto" w:fill="auto"/>
                  <w:vAlign w:val="center"/>
                </w:tcPr>
                <w:p w14:paraId="3BF5E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废矿物油</w:t>
                  </w:r>
                </w:p>
              </w:tc>
              <w:tc>
                <w:tcPr>
                  <w:tcW w:w="476" w:type="pct"/>
                  <w:tcBorders>
                    <w:tl2br w:val="nil"/>
                    <w:tr2bl w:val="nil"/>
                  </w:tcBorders>
                  <w:shd w:val="clear" w:color="auto" w:fill="auto"/>
                  <w:vAlign w:val="center"/>
                </w:tcPr>
                <w:p w14:paraId="0FF39E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每个生产周期</w:t>
                  </w:r>
                </w:p>
              </w:tc>
              <w:tc>
                <w:tcPr>
                  <w:tcW w:w="535" w:type="pct"/>
                  <w:tcBorders>
                    <w:tl2br w:val="nil"/>
                    <w:tr2bl w:val="nil"/>
                  </w:tcBorders>
                  <w:shd w:val="clear" w:color="auto" w:fill="auto"/>
                  <w:vAlign w:val="center"/>
                </w:tcPr>
                <w:p w14:paraId="2C515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T/In</w:t>
                  </w:r>
                </w:p>
              </w:tc>
              <w:tc>
                <w:tcPr>
                  <w:tcW w:w="727" w:type="pct"/>
                  <w:vMerge w:val="continue"/>
                  <w:tcBorders>
                    <w:tl2br w:val="nil"/>
                    <w:tr2bl w:val="nil"/>
                  </w:tcBorders>
                  <w:shd w:val="clear" w:color="auto" w:fill="auto"/>
                  <w:vAlign w:val="center"/>
                </w:tcPr>
                <w:p w14:paraId="5593E8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r>
          </w:tbl>
          <w:p w14:paraId="344D0489">
            <w:pPr>
              <w:contextualSpacing/>
              <w:jc w:val="center"/>
              <w:rPr>
                <w:rFonts w:hint="eastAsia" w:ascii="仿宋" w:hAnsi="仿宋" w:eastAsia="仿宋" w:cs="仿宋"/>
                <w:b/>
                <w:bCs/>
                <w:snapToGrid w:val="0"/>
                <w:color w:val="auto"/>
                <w:szCs w:val="21"/>
              </w:rPr>
            </w:pPr>
            <w:r>
              <w:rPr>
                <w:rFonts w:hint="eastAsia" w:ascii="仿宋" w:hAnsi="仿宋" w:eastAsia="仿宋" w:cs="仿宋"/>
                <w:b/>
                <w:bCs/>
                <w:snapToGrid w:val="0"/>
                <w:color w:val="auto"/>
                <w:szCs w:val="21"/>
              </w:rPr>
              <w:t>表4-</w:t>
            </w:r>
            <w:r>
              <w:rPr>
                <w:rFonts w:hint="eastAsia" w:ascii="仿宋" w:hAnsi="仿宋" w:eastAsia="仿宋" w:cs="仿宋"/>
                <w:b/>
                <w:bCs/>
                <w:snapToGrid w:val="0"/>
                <w:color w:val="auto"/>
                <w:szCs w:val="21"/>
                <w:lang w:val="en-US" w:eastAsia="zh-CN"/>
              </w:rPr>
              <w:t>20</w:t>
            </w:r>
            <w:r>
              <w:rPr>
                <w:rFonts w:hint="eastAsia" w:ascii="仿宋" w:hAnsi="仿宋" w:eastAsia="仿宋" w:cs="仿宋"/>
                <w:b/>
                <w:bCs/>
                <w:snapToGrid w:val="0"/>
                <w:color w:val="auto"/>
                <w:szCs w:val="21"/>
              </w:rPr>
              <w:t xml:space="preserve">  本项目危险废物贮存场所（设施）基本情况表</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777"/>
              <w:gridCol w:w="811"/>
              <w:gridCol w:w="1388"/>
              <w:gridCol w:w="888"/>
              <w:gridCol w:w="722"/>
              <w:gridCol w:w="951"/>
              <w:gridCol w:w="914"/>
            </w:tblGrid>
            <w:tr w14:paraId="44D2E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Align w:val="center"/>
                </w:tcPr>
                <w:p w14:paraId="68B5C1C0">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贮存场所名称</w:t>
                  </w:r>
                </w:p>
              </w:tc>
              <w:tc>
                <w:tcPr>
                  <w:tcW w:w="1078" w:type="pct"/>
                  <w:vAlign w:val="center"/>
                </w:tcPr>
                <w:p w14:paraId="5EF53248">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危险废物名称</w:t>
                  </w:r>
                </w:p>
              </w:tc>
              <w:tc>
                <w:tcPr>
                  <w:tcW w:w="492" w:type="pct"/>
                  <w:vAlign w:val="center"/>
                </w:tcPr>
                <w:p w14:paraId="547C4677">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危险废物类别</w:t>
                  </w:r>
                </w:p>
              </w:tc>
              <w:tc>
                <w:tcPr>
                  <w:tcW w:w="842" w:type="pct"/>
                  <w:vAlign w:val="center"/>
                </w:tcPr>
                <w:p w14:paraId="1CB96131">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危险废物代码</w:t>
                  </w:r>
                </w:p>
              </w:tc>
              <w:tc>
                <w:tcPr>
                  <w:tcW w:w="539" w:type="pct"/>
                  <w:vAlign w:val="center"/>
                </w:tcPr>
                <w:p w14:paraId="7C68BD1A">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位置</w:t>
                  </w:r>
                </w:p>
              </w:tc>
              <w:tc>
                <w:tcPr>
                  <w:tcW w:w="438" w:type="pct"/>
                  <w:vAlign w:val="center"/>
                </w:tcPr>
                <w:p w14:paraId="7AA06B1F">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占地面积</w:t>
                  </w:r>
                </w:p>
              </w:tc>
              <w:tc>
                <w:tcPr>
                  <w:tcW w:w="577" w:type="pct"/>
                  <w:vAlign w:val="center"/>
                </w:tcPr>
                <w:p w14:paraId="0D5F6332">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贮存方式</w:t>
                  </w:r>
                </w:p>
              </w:tc>
              <w:tc>
                <w:tcPr>
                  <w:tcW w:w="554" w:type="pct"/>
                  <w:vAlign w:val="center"/>
                </w:tcPr>
                <w:p w14:paraId="4845750C">
                  <w:pPr>
                    <w:contextualSpacing/>
                    <w:jc w:val="center"/>
                    <w:rPr>
                      <w:rFonts w:hint="eastAsia" w:ascii="仿宋" w:hAnsi="仿宋" w:eastAsia="仿宋" w:cs="仿宋"/>
                      <w:b/>
                      <w:bCs/>
                      <w:snapToGrid w:val="0"/>
                      <w:color w:val="auto"/>
                      <w:sz w:val="21"/>
                      <w:szCs w:val="21"/>
                    </w:rPr>
                  </w:pPr>
                  <w:r>
                    <w:rPr>
                      <w:rFonts w:hint="eastAsia" w:ascii="仿宋" w:hAnsi="仿宋" w:eastAsia="仿宋" w:cs="仿宋"/>
                      <w:b/>
                      <w:bCs/>
                      <w:snapToGrid w:val="0"/>
                      <w:color w:val="auto"/>
                      <w:sz w:val="21"/>
                      <w:szCs w:val="21"/>
                    </w:rPr>
                    <w:t>贮存周期</w:t>
                  </w:r>
                </w:p>
              </w:tc>
            </w:tr>
            <w:tr w14:paraId="0DA05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77" w:type="pct"/>
                  <w:vMerge w:val="restart"/>
                  <w:vAlign w:val="center"/>
                </w:tcPr>
                <w:p w14:paraId="4977B534">
                  <w:pPr>
                    <w:contextualSpacing/>
                    <w:jc w:val="center"/>
                    <w:rPr>
                      <w:rFonts w:hint="eastAsia" w:ascii="仿宋" w:hAnsi="仿宋" w:eastAsia="仿宋" w:cs="仿宋"/>
                      <w:snapToGrid w:val="0"/>
                      <w:color w:val="auto"/>
                      <w:sz w:val="21"/>
                      <w:szCs w:val="21"/>
                      <w:lang w:eastAsia="zh-CN"/>
                    </w:rPr>
                  </w:pPr>
                  <w:r>
                    <w:rPr>
                      <w:rFonts w:hint="eastAsia" w:ascii="仿宋" w:hAnsi="仿宋" w:eastAsia="仿宋" w:cs="仿宋"/>
                      <w:snapToGrid w:val="0"/>
                      <w:color w:val="auto"/>
                      <w:sz w:val="21"/>
                      <w:szCs w:val="21"/>
                      <w:lang w:eastAsia="zh-CN"/>
                    </w:rPr>
                    <w:t>危废仓库</w:t>
                  </w:r>
                </w:p>
              </w:tc>
              <w:tc>
                <w:tcPr>
                  <w:tcW w:w="1078" w:type="pct"/>
                  <w:vAlign w:val="center"/>
                </w:tcPr>
                <w:p w14:paraId="55E9F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1"/>
                      <w:szCs w:val="21"/>
                      <w:u w:val="none"/>
                      <w:lang w:val="en-US" w:eastAsia="zh-CN" w:bidi="ar"/>
                    </w:rPr>
                    <w:t>废机油</w:t>
                  </w:r>
                </w:p>
              </w:tc>
              <w:tc>
                <w:tcPr>
                  <w:tcW w:w="492" w:type="pct"/>
                  <w:vAlign w:val="center"/>
                </w:tcPr>
                <w:p w14:paraId="44392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1"/>
                      <w:szCs w:val="21"/>
                      <w:u w:val="none"/>
                      <w:lang w:val="en-US" w:eastAsia="zh-CN" w:bidi="ar"/>
                    </w:rPr>
                    <w:t>HW08</w:t>
                  </w:r>
                </w:p>
              </w:tc>
              <w:tc>
                <w:tcPr>
                  <w:tcW w:w="842" w:type="pct"/>
                  <w:vAlign w:val="center"/>
                </w:tcPr>
                <w:p w14:paraId="6BA90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000000"/>
                      <w:kern w:val="0"/>
                      <w:sz w:val="21"/>
                      <w:szCs w:val="21"/>
                      <w:u w:val="none"/>
                      <w:lang w:val="en-US" w:eastAsia="zh-CN" w:bidi="ar"/>
                    </w:rPr>
                    <w:t>900-217-08</w:t>
                  </w:r>
                </w:p>
              </w:tc>
              <w:tc>
                <w:tcPr>
                  <w:tcW w:w="539" w:type="pct"/>
                  <w:vMerge w:val="restart"/>
                  <w:vAlign w:val="center"/>
                </w:tcPr>
                <w:p w14:paraId="0B2B7A69">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rPr>
                    <w:t>厂房</w:t>
                  </w:r>
                  <w:r>
                    <w:rPr>
                      <w:rFonts w:hint="eastAsia" w:ascii="仿宋" w:hAnsi="仿宋" w:eastAsia="仿宋" w:cs="仿宋"/>
                      <w:snapToGrid w:val="0"/>
                      <w:color w:val="auto"/>
                      <w:sz w:val="21"/>
                      <w:szCs w:val="21"/>
                      <w:lang w:val="en-US" w:eastAsia="zh-CN"/>
                    </w:rPr>
                    <w:t>西</w:t>
                  </w:r>
                  <w:r>
                    <w:rPr>
                      <w:rFonts w:hint="eastAsia" w:ascii="仿宋" w:hAnsi="仿宋" w:eastAsia="仿宋" w:cs="仿宋"/>
                      <w:snapToGrid w:val="0"/>
                      <w:color w:val="auto"/>
                      <w:sz w:val="21"/>
                      <w:szCs w:val="21"/>
                    </w:rPr>
                    <w:t>侧</w:t>
                  </w:r>
                </w:p>
              </w:tc>
              <w:tc>
                <w:tcPr>
                  <w:tcW w:w="438" w:type="pct"/>
                  <w:vMerge w:val="restart"/>
                  <w:vAlign w:val="center"/>
                </w:tcPr>
                <w:p w14:paraId="753926CF">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lang w:val="en-US" w:eastAsia="zh-CN"/>
                    </w:rPr>
                    <w:t>5</w:t>
                  </w:r>
                  <w:r>
                    <w:rPr>
                      <w:rFonts w:hint="eastAsia" w:ascii="仿宋" w:hAnsi="仿宋" w:eastAsia="仿宋" w:cs="仿宋"/>
                      <w:snapToGrid w:val="0"/>
                      <w:color w:val="auto"/>
                      <w:sz w:val="21"/>
                      <w:szCs w:val="21"/>
                    </w:rPr>
                    <w:t>m</w:t>
                  </w:r>
                  <w:r>
                    <w:rPr>
                      <w:rFonts w:hint="eastAsia" w:ascii="仿宋" w:hAnsi="仿宋" w:eastAsia="仿宋" w:cs="仿宋"/>
                      <w:snapToGrid w:val="0"/>
                      <w:color w:val="auto"/>
                      <w:sz w:val="21"/>
                      <w:szCs w:val="21"/>
                      <w:vertAlign w:val="superscript"/>
                    </w:rPr>
                    <w:t>2</w:t>
                  </w:r>
                </w:p>
              </w:tc>
              <w:tc>
                <w:tcPr>
                  <w:tcW w:w="577" w:type="pct"/>
                  <w:vAlign w:val="center"/>
                </w:tcPr>
                <w:p w14:paraId="5B4561D2">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rPr>
                    <w:t>桶装</w:t>
                  </w:r>
                </w:p>
              </w:tc>
              <w:tc>
                <w:tcPr>
                  <w:tcW w:w="554" w:type="pct"/>
                  <w:vMerge w:val="restart"/>
                  <w:vAlign w:val="center"/>
                </w:tcPr>
                <w:p w14:paraId="6C60880F">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rPr>
                    <w:t>＜1年</w:t>
                  </w:r>
                </w:p>
              </w:tc>
            </w:tr>
            <w:tr w14:paraId="3D475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032D258">
                  <w:pPr>
                    <w:contextualSpacing/>
                    <w:jc w:val="center"/>
                    <w:rPr>
                      <w:rFonts w:hint="eastAsia" w:ascii="仿宋" w:hAnsi="仿宋" w:eastAsia="仿宋" w:cs="仿宋"/>
                      <w:snapToGrid w:val="0"/>
                      <w:color w:val="auto"/>
                      <w:sz w:val="21"/>
                      <w:szCs w:val="21"/>
                    </w:rPr>
                  </w:pPr>
                </w:p>
              </w:tc>
              <w:tc>
                <w:tcPr>
                  <w:tcW w:w="1078" w:type="pct"/>
                  <w:vAlign w:val="center"/>
                </w:tcPr>
                <w:p w14:paraId="71B00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1"/>
                      <w:szCs w:val="21"/>
                      <w:u w:val="none"/>
                      <w:lang w:val="en-US" w:eastAsia="zh-CN" w:bidi="ar"/>
                    </w:rPr>
                    <w:t>废油桶</w:t>
                  </w:r>
                </w:p>
              </w:tc>
              <w:tc>
                <w:tcPr>
                  <w:tcW w:w="492" w:type="pct"/>
                  <w:vAlign w:val="center"/>
                </w:tcPr>
                <w:p w14:paraId="7E3A9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i w:val="0"/>
                      <w:iCs w:val="0"/>
                      <w:color w:val="000000"/>
                      <w:kern w:val="0"/>
                      <w:sz w:val="21"/>
                      <w:szCs w:val="21"/>
                      <w:u w:val="none"/>
                      <w:lang w:val="en-US" w:eastAsia="zh-CN" w:bidi="ar"/>
                    </w:rPr>
                    <w:t>HW08</w:t>
                  </w:r>
                </w:p>
              </w:tc>
              <w:tc>
                <w:tcPr>
                  <w:tcW w:w="842" w:type="pct"/>
                  <w:vAlign w:val="center"/>
                </w:tcPr>
                <w:p w14:paraId="596F3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000000"/>
                      <w:kern w:val="0"/>
                      <w:sz w:val="21"/>
                      <w:szCs w:val="21"/>
                      <w:u w:val="none"/>
                      <w:lang w:val="en-US" w:eastAsia="zh-CN" w:bidi="ar"/>
                    </w:rPr>
                    <w:t>900-249-08</w:t>
                  </w:r>
                </w:p>
              </w:tc>
              <w:tc>
                <w:tcPr>
                  <w:tcW w:w="539" w:type="pct"/>
                  <w:vMerge w:val="continue"/>
                  <w:vAlign w:val="center"/>
                </w:tcPr>
                <w:p w14:paraId="1ADD28BC">
                  <w:pPr>
                    <w:contextualSpacing/>
                    <w:jc w:val="center"/>
                    <w:rPr>
                      <w:rFonts w:hint="eastAsia" w:ascii="仿宋" w:hAnsi="仿宋" w:eastAsia="仿宋" w:cs="仿宋"/>
                      <w:snapToGrid w:val="0"/>
                      <w:color w:val="auto"/>
                      <w:sz w:val="21"/>
                      <w:szCs w:val="21"/>
                    </w:rPr>
                  </w:pPr>
                </w:p>
              </w:tc>
              <w:tc>
                <w:tcPr>
                  <w:tcW w:w="438" w:type="pct"/>
                  <w:vMerge w:val="continue"/>
                  <w:vAlign w:val="center"/>
                </w:tcPr>
                <w:p w14:paraId="50587360">
                  <w:pPr>
                    <w:contextualSpacing/>
                    <w:jc w:val="center"/>
                    <w:rPr>
                      <w:rFonts w:hint="eastAsia" w:ascii="仿宋" w:hAnsi="仿宋" w:eastAsia="仿宋" w:cs="仿宋"/>
                      <w:snapToGrid w:val="0"/>
                      <w:color w:val="auto"/>
                      <w:sz w:val="21"/>
                      <w:szCs w:val="21"/>
                    </w:rPr>
                  </w:pPr>
                </w:p>
              </w:tc>
              <w:tc>
                <w:tcPr>
                  <w:tcW w:w="577" w:type="pct"/>
                  <w:vAlign w:val="center"/>
                </w:tcPr>
                <w:p w14:paraId="0C106B23">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rPr>
                    <w:t>/</w:t>
                  </w:r>
                </w:p>
              </w:tc>
              <w:tc>
                <w:tcPr>
                  <w:tcW w:w="554" w:type="pct"/>
                  <w:vMerge w:val="continue"/>
                  <w:vAlign w:val="center"/>
                </w:tcPr>
                <w:p w14:paraId="163DCA0F">
                  <w:pPr>
                    <w:contextualSpacing/>
                    <w:jc w:val="center"/>
                    <w:rPr>
                      <w:rFonts w:hint="eastAsia" w:ascii="仿宋" w:hAnsi="仿宋" w:eastAsia="仿宋" w:cs="仿宋"/>
                      <w:snapToGrid w:val="0"/>
                      <w:color w:val="auto"/>
                      <w:sz w:val="21"/>
                      <w:szCs w:val="21"/>
                    </w:rPr>
                  </w:pPr>
                </w:p>
              </w:tc>
            </w:tr>
            <w:tr w14:paraId="6490E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433047FB">
                  <w:pPr>
                    <w:contextualSpacing/>
                    <w:jc w:val="center"/>
                    <w:rPr>
                      <w:rFonts w:hint="eastAsia" w:ascii="仿宋" w:hAnsi="仿宋" w:eastAsia="仿宋" w:cs="仿宋"/>
                      <w:snapToGrid w:val="0"/>
                      <w:color w:val="auto"/>
                      <w:sz w:val="21"/>
                      <w:szCs w:val="21"/>
                    </w:rPr>
                  </w:pPr>
                </w:p>
              </w:tc>
              <w:tc>
                <w:tcPr>
                  <w:tcW w:w="1078" w:type="pct"/>
                  <w:vAlign w:val="center"/>
                </w:tcPr>
                <w:p w14:paraId="7CCE2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废含油抹布及手套</w:t>
                  </w:r>
                </w:p>
              </w:tc>
              <w:tc>
                <w:tcPr>
                  <w:tcW w:w="492" w:type="pct"/>
                  <w:vAlign w:val="center"/>
                </w:tcPr>
                <w:p w14:paraId="159AB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000000"/>
                      <w:kern w:val="0"/>
                      <w:sz w:val="21"/>
                      <w:szCs w:val="21"/>
                      <w:u w:val="none"/>
                      <w:lang w:val="en-US" w:eastAsia="zh-CN" w:bidi="ar"/>
                    </w:rPr>
                    <w:t>HW49</w:t>
                  </w:r>
                </w:p>
              </w:tc>
              <w:tc>
                <w:tcPr>
                  <w:tcW w:w="842" w:type="pct"/>
                  <w:vAlign w:val="center"/>
                </w:tcPr>
                <w:p w14:paraId="6A1AE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000000"/>
                      <w:kern w:val="0"/>
                      <w:sz w:val="21"/>
                      <w:szCs w:val="21"/>
                      <w:u w:val="none"/>
                      <w:lang w:val="en-US" w:eastAsia="zh-CN" w:bidi="ar"/>
                    </w:rPr>
                    <w:t>900-041-49</w:t>
                  </w:r>
                </w:p>
              </w:tc>
              <w:tc>
                <w:tcPr>
                  <w:tcW w:w="539" w:type="pct"/>
                  <w:vMerge w:val="continue"/>
                  <w:vAlign w:val="center"/>
                </w:tcPr>
                <w:p w14:paraId="63EBA679">
                  <w:pPr>
                    <w:contextualSpacing/>
                    <w:jc w:val="center"/>
                    <w:rPr>
                      <w:rFonts w:hint="eastAsia" w:ascii="仿宋" w:hAnsi="仿宋" w:eastAsia="仿宋" w:cs="仿宋"/>
                      <w:snapToGrid w:val="0"/>
                      <w:color w:val="auto"/>
                      <w:sz w:val="21"/>
                      <w:szCs w:val="21"/>
                    </w:rPr>
                  </w:pPr>
                </w:p>
              </w:tc>
              <w:tc>
                <w:tcPr>
                  <w:tcW w:w="438" w:type="pct"/>
                  <w:vMerge w:val="continue"/>
                  <w:vAlign w:val="center"/>
                </w:tcPr>
                <w:p w14:paraId="30D14D99">
                  <w:pPr>
                    <w:contextualSpacing/>
                    <w:jc w:val="center"/>
                    <w:rPr>
                      <w:rFonts w:hint="eastAsia" w:ascii="仿宋" w:hAnsi="仿宋" w:eastAsia="仿宋" w:cs="仿宋"/>
                      <w:snapToGrid w:val="0"/>
                      <w:color w:val="auto"/>
                      <w:sz w:val="21"/>
                      <w:szCs w:val="21"/>
                    </w:rPr>
                  </w:pPr>
                </w:p>
              </w:tc>
              <w:tc>
                <w:tcPr>
                  <w:tcW w:w="577" w:type="pct"/>
                  <w:vAlign w:val="center"/>
                </w:tcPr>
                <w:p w14:paraId="33FA723F">
                  <w:pPr>
                    <w:contextualSpacing/>
                    <w:jc w:val="center"/>
                    <w:rPr>
                      <w:rFonts w:hint="eastAsia" w:ascii="仿宋" w:hAnsi="仿宋" w:eastAsia="仿宋" w:cs="仿宋"/>
                      <w:snapToGrid w:val="0"/>
                      <w:color w:val="auto"/>
                      <w:sz w:val="21"/>
                      <w:szCs w:val="21"/>
                    </w:rPr>
                  </w:pPr>
                  <w:r>
                    <w:rPr>
                      <w:rFonts w:hint="eastAsia" w:ascii="仿宋" w:hAnsi="仿宋" w:eastAsia="仿宋" w:cs="仿宋"/>
                      <w:snapToGrid w:val="0"/>
                      <w:color w:val="auto"/>
                      <w:sz w:val="21"/>
                      <w:szCs w:val="21"/>
                    </w:rPr>
                    <w:t>桶装</w:t>
                  </w:r>
                </w:p>
              </w:tc>
              <w:tc>
                <w:tcPr>
                  <w:tcW w:w="554" w:type="pct"/>
                  <w:vMerge w:val="continue"/>
                  <w:vAlign w:val="center"/>
                </w:tcPr>
                <w:p w14:paraId="74C7456D">
                  <w:pPr>
                    <w:contextualSpacing/>
                    <w:jc w:val="center"/>
                    <w:rPr>
                      <w:rFonts w:hint="eastAsia" w:ascii="仿宋" w:hAnsi="仿宋" w:eastAsia="仿宋" w:cs="仿宋"/>
                      <w:snapToGrid w:val="0"/>
                      <w:color w:val="auto"/>
                      <w:sz w:val="21"/>
                      <w:szCs w:val="21"/>
                    </w:rPr>
                  </w:pPr>
                </w:p>
              </w:tc>
            </w:tr>
          </w:tbl>
          <w:p w14:paraId="17607BCE">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color w:val="FF0000"/>
                <w:sz w:val="24"/>
                <w:szCs w:val="24"/>
              </w:rPr>
            </w:pPr>
            <w:r>
              <w:rPr>
                <w:rFonts w:hint="eastAsia" w:ascii="仿宋" w:hAnsi="仿宋" w:eastAsia="仿宋" w:cs="仿宋"/>
                <w:b/>
                <w:color w:val="auto"/>
                <w:sz w:val="24"/>
                <w:szCs w:val="24"/>
                <w:lang w:val="en-US" w:eastAsia="zh-CN"/>
              </w:rPr>
              <w:t>2、固废</w:t>
            </w:r>
            <w:r>
              <w:rPr>
                <w:rFonts w:hint="eastAsia" w:ascii="仿宋" w:hAnsi="仿宋" w:eastAsia="仿宋" w:cs="仿宋"/>
                <w:b/>
                <w:color w:val="auto"/>
                <w:sz w:val="24"/>
                <w:szCs w:val="24"/>
              </w:rPr>
              <w:t>环境影响分析</w:t>
            </w:r>
          </w:p>
          <w:p w14:paraId="19037BB4">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生产中产生的一般固废为生活垃圾、不可降解物、废布袋、一般废包装物，其中生活垃圾存放于垃圾桶，由环卫部门清运处理，不可降解物、废布袋、一般废包装物暂存一般固废库，收集后外售。建设单位在生产车间内西侧建设一般固废堆放间建筑面积15㎡，用于一般固废暂存，每平方米理论堆放重量为0.7t，则理论堆放重量为10.5t，本项目一般固体废物最大储存周期为1个月，一般固体废物年产生量约65.3t（不含生活垃圾），则最大储存量为5.4t，小于理论堆放重量，故满足本项目临时堆放需求。厂内设置的一般工业固废暂存场所需按照《一般工业固体废物贮存、处置场污染控制标准》（GB18599-2020)的要求建设，具体要求如下：贮存、处置场的建设类型，必须与将要堆放的一般工业固体废物的类别相一致。贮存、处置场应采取防尘污染的措施。不得露天堆放，防止雨水进入，产生二次污染。项目产生的一般固体废物均得到妥善处理，对周围环境影响较小。</w:t>
            </w:r>
          </w:p>
          <w:p w14:paraId="671F8957">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废机油、废油桶、废含油抹布及手套属于危险废物，本项目拟于生产车间内西侧建设危废仓库建筑面积5㎡危废仓库，废机油、废油桶、废含油抹布及手套暂存危废仓库，定期交由资质单位处理，危废仓库每平方米理论堆放重量为0.7t，则理论堆放重量为3.5t，本项目危险废物最大储存周期为半年，危险废物年产生量约0.17t，则最大储存量为0.85t，小于理论堆放重量，故满足本项目危险废物临时储存需求。</w:t>
            </w:r>
          </w:p>
          <w:p w14:paraId="2F6E2B64">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（1）贮存设施的污染防治措施和环境影响分析</w:t>
            </w:r>
          </w:p>
          <w:p w14:paraId="33B8033A">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危险废物临时存放于指定的危废暂存库，不得露天堆放，危险废物的地坪要符合防腐防渗要求，避免产生渗透、雨水淋溶及大风吹扬及外水入侵冲洗等二次污染；危废暂存场所应严格按照《危险废物贮存污染控制标准》（GB18597-2023）、《危险废物收集贮存运输技术规范》（HJ2025-2012）中相关要求设置，并做到以下几点：</w:t>
            </w:r>
          </w:p>
          <w:p w14:paraId="154CB85A">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①危险废物产生后用容器密封储存，并在容器显著位置张贴危险废物的标识。需根据《环境保护图形标志—固体废物贮存（处置场）》（GB15562.2-1995）在固废贮存场所设置环保标志；</w:t>
            </w:r>
          </w:p>
          <w:p w14:paraId="5AF0BA90">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②危险废物暂存场所应按照《危险废物贮存污染控制标准》（GB18597-2023）的要求进行建设，设置防渗、防漏、防雨等措施。建议基础防渗层为1m厚粘土层（渗透系数≤10</w:t>
            </w:r>
            <w:r>
              <w:rPr>
                <w:rFonts w:hint="eastAsia" w:ascii="仿宋" w:hAnsi="仿宋" w:eastAsia="仿宋" w:cs="仿宋"/>
                <w:snapToGrid w:val="0"/>
                <w:color w:val="auto"/>
                <w:kern w:val="24"/>
                <w:sz w:val="24"/>
                <w:szCs w:val="24"/>
                <w:vertAlign w:val="superscript"/>
                <w:lang w:val="en-US" w:eastAsia="zh-CN" w:bidi="ar-SA"/>
              </w:rPr>
              <w:t>-7</w:t>
            </w:r>
            <w:r>
              <w:rPr>
                <w:rFonts w:hint="eastAsia" w:ascii="仿宋" w:hAnsi="仿宋" w:eastAsia="仿宋" w:cs="仿宋"/>
                <w:snapToGrid w:val="0"/>
                <w:color w:val="auto"/>
                <w:kern w:val="24"/>
                <w:sz w:val="24"/>
                <w:szCs w:val="24"/>
                <w:lang w:val="en-US" w:eastAsia="zh-CN" w:bidi="ar-SA"/>
              </w:rPr>
              <w:t>cm/s），最上层为2mm厚的高密度聚乙烯，或至少2mm厚的其他人工材料，渗透系数≤10</w:t>
            </w:r>
            <w:r>
              <w:rPr>
                <w:rFonts w:hint="eastAsia" w:ascii="仿宋" w:hAnsi="仿宋" w:eastAsia="仿宋" w:cs="仿宋"/>
                <w:snapToGrid w:val="0"/>
                <w:color w:val="auto"/>
                <w:kern w:val="24"/>
                <w:sz w:val="24"/>
                <w:szCs w:val="24"/>
                <w:vertAlign w:val="superscript"/>
                <w:lang w:val="en-US" w:eastAsia="zh-CN" w:bidi="ar-SA"/>
              </w:rPr>
              <w:t>-10</w:t>
            </w:r>
            <w:r>
              <w:rPr>
                <w:rFonts w:hint="eastAsia" w:ascii="仿宋" w:hAnsi="仿宋" w:eastAsia="仿宋" w:cs="仿宋"/>
                <w:snapToGrid w:val="0"/>
                <w:color w:val="auto"/>
                <w:kern w:val="24"/>
                <w:sz w:val="24"/>
                <w:szCs w:val="24"/>
                <w:lang w:val="en-US" w:eastAsia="zh-CN" w:bidi="ar-SA"/>
              </w:rPr>
              <w:t>cm/s；</w:t>
            </w:r>
          </w:p>
          <w:p w14:paraId="7C5A1ABE">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③废物贮存设施周围设置围墙或其它防护栅栏；</w:t>
            </w:r>
          </w:p>
          <w:p w14:paraId="1CC635F4">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④废物贮存设施配备通讯设备、视频监控设施、防盗设施、照明设施、安全防护服装及工具，并设有应急防护设施；</w:t>
            </w:r>
          </w:p>
          <w:p w14:paraId="219FDEB3">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⑤废物贮存设施内清理出来的泄漏物，一律按危险废物处理。</w:t>
            </w:r>
          </w:p>
          <w:p w14:paraId="71C638A4">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left"/>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⑥危险废物贮存设施（仓库式）的设计原则：地面与裙脚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不相容的危险废物必须分开存放，并设有隔离间隔断。</w:t>
            </w:r>
          </w:p>
          <w:p w14:paraId="1136F3D1">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lang w:val="en-US" w:eastAsia="zh-CN" w:bidi="ar-SA"/>
              </w:rPr>
            </w:pPr>
            <w:r>
              <w:rPr>
                <w:rFonts w:hint="eastAsia" w:ascii="仿宋" w:hAnsi="仿宋" w:eastAsia="仿宋" w:cs="仿宋"/>
                <w:snapToGrid w:val="0"/>
                <w:color w:val="auto"/>
                <w:kern w:val="24"/>
                <w:sz w:val="24"/>
                <w:szCs w:val="24"/>
                <w:lang w:val="en-US" w:eastAsia="zh-CN" w:bidi="ar-SA"/>
              </w:rPr>
              <w:t>⑦应加强危险储存场所的安全防范措施，防止包装桶破损、倾倒等情况发生，防止出现二次污染情况。垃圾桶需加盖封闭，定时转运，保持周围场地整洁，无撒落垃圾和堆积杂物，无积留污水。</w:t>
            </w:r>
          </w:p>
          <w:p w14:paraId="4FD032D3">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（2）运输过程的污染防治措施和环境影响分析</w:t>
            </w:r>
          </w:p>
          <w:p w14:paraId="13F41BB6">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①本项目危险废物必须及时运送至危险废物处置单位进行处置，运输过程必须符合国家对危险废物的运输要求。应由固废接收单位的专用车进行运输，须填写危规转移单，要注意危险废物安全单独运输，固废的包装容器要注意密闭，以免在运输途中发生泄漏，从而危害环境；</w:t>
            </w:r>
          </w:p>
          <w:p w14:paraId="12C4D280">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②本项目在危险废物转移的过程中严格执行《危险废物转移单联管理办法》，危险废物的转运必须填写“五联单”，且必须符合国家对危险废物转运的相关规定。</w:t>
            </w:r>
          </w:p>
          <w:p w14:paraId="4ACB9A33">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③清运车辆(包括机动车辆和非机动车辆)运输垃圾应符合下列质量要求：（a）车容应整洁，车体外部无污物、灰垢，标志应清晰。（b）运输垃圾应密闭，在运输过程中无垃圾扬、撒、拖挂和污水滴漏。（c）垃圾装运量应以车辆的额定荷载和有效容积为限，不得超重、超高运输。（d）装卸垃圾应符合作业要求，不得乱倒、乱卸、乱抛垃圾。（e）运输作业结束，应将车辆清洗干净。</w:t>
            </w:r>
          </w:p>
          <w:p w14:paraId="44726321">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（3）委托利用或处置的污染防治措施和环境影响分析</w:t>
            </w:r>
          </w:p>
          <w:p w14:paraId="5B78D493">
            <w:pPr>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本项目产生的危险废物将委托有资质单位进行集中处理，做到合理处置，将对环境的危害降到最低。</w:t>
            </w:r>
          </w:p>
          <w:p w14:paraId="00ABE6E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snapToGrid w:val="0"/>
                <w:color w:val="auto"/>
                <w:kern w:val="24"/>
                <w:sz w:val="24"/>
                <w:highlight w:val="none"/>
              </w:rPr>
            </w:pPr>
            <w:r>
              <w:rPr>
                <w:rFonts w:hint="eastAsia" w:ascii="仿宋" w:hAnsi="仿宋" w:eastAsia="仿宋" w:cs="仿宋"/>
                <w:snapToGrid w:val="0"/>
                <w:color w:val="auto"/>
                <w:kern w:val="24"/>
                <w:sz w:val="24"/>
                <w:highlight w:val="none"/>
              </w:rPr>
              <w:t>本项目</w:t>
            </w:r>
            <w:r>
              <w:rPr>
                <w:rFonts w:hint="eastAsia" w:ascii="仿宋" w:hAnsi="仿宋" w:eastAsia="仿宋" w:cs="仿宋"/>
                <w:snapToGrid w:val="0"/>
                <w:color w:val="auto"/>
                <w:kern w:val="24"/>
                <w:sz w:val="24"/>
                <w:highlight w:val="none"/>
                <w:lang w:eastAsia="zh-CN"/>
              </w:rPr>
              <w:t>固体废物</w:t>
            </w:r>
            <w:r>
              <w:rPr>
                <w:rFonts w:hint="eastAsia" w:ascii="仿宋" w:hAnsi="仿宋" w:eastAsia="仿宋" w:cs="仿宋"/>
                <w:snapToGrid w:val="0"/>
                <w:color w:val="auto"/>
                <w:kern w:val="24"/>
                <w:sz w:val="24"/>
                <w:highlight w:val="none"/>
              </w:rPr>
              <w:t>处理处置率达到100%，在收集、贮存、运输过程中严密防护，不会产生二次污染，有效避免</w:t>
            </w:r>
            <w:r>
              <w:rPr>
                <w:rFonts w:hint="eastAsia" w:ascii="仿宋" w:hAnsi="仿宋" w:eastAsia="仿宋" w:cs="仿宋"/>
                <w:snapToGrid w:val="0"/>
                <w:color w:val="auto"/>
                <w:kern w:val="24"/>
                <w:sz w:val="24"/>
                <w:highlight w:val="none"/>
                <w:lang w:eastAsia="zh-CN"/>
              </w:rPr>
              <w:t>固体废物</w:t>
            </w:r>
            <w:r>
              <w:rPr>
                <w:rFonts w:hint="eastAsia" w:ascii="仿宋" w:hAnsi="仿宋" w:eastAsia="仿宋" w:cs="仿宋"/>
                <w:snapToGrid w:val="0"/>
                <w:color w:val="auto"/>
                <w:kern w:val="24"/>
                <w:sz w:val="24"/>
                <w:highlight w:val="none"/>
              </w:rPr>
              <w:t>对环境造成影响。</w:t>
            </w:r>
          </w:p>
          <w:p w14:paraId="433FF71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综上，企业应强化管理，做好一般工业固体废物、危险废物的收集、贮存和清运工作，并采取恰当的安全处置方法，经处置后固废基本不会对周围环境产生明显的不利影响。</w:t>
            </w:r>
          </w:p>
          <w:p w14:paraId="37B3411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snapToGrid w:val="0"/>
                <w:color w:val="auto"/>
                <w:kern w:val="24"/>
                <w:sz w:val="24"/>
                <w:szCs w:val="24"/>
                <w:highlight w:val="none"/>
                <w:lang w:val="en-US" w:eastAsia="zh-CN" w:bidi="ar-SA"/>
              </w:rPr>
            </w:pPr>
            <w:r>
              <w:rPr>
                <w:rFonts w:hint="eastAsia" w:ascii="仿宋" w:hAnsi="仿宋" w:eastAsia="仿宋" w:cs="仿宋"/>
                <w:snapToGrid w:val="0"/>
                <w:color w:val="auto"/>
                <w:kern w:val="24"/>
                <w:sz w:val="24"/>
                <w:szCs w:val="24"/>
                <w:highlight w:val="none"/>
                <w:lang w:val="en-US" w:eastAsia="zh-CN" w:bidi="ar-SA"/>
              </w:rPr>
              <w:t>根据以上分析，本项目危险废物收集、处理方式是可行的。</w:t>
            </w:r>
          </w:p>
          <w:p w14:paraId="19CC0FE6">
            <w:pPr>
              <w:keepNext w:val="0"/>
              <w:keepLines w:val="0"/>
              <w:pageBreakBefore w:val="0"/>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地下水、土壤环境</w:t>
            </w:r>
          </w:p>
          <w:p w14:paraId="5EF3BA02">
            <w:pPr>
              <w:pStyle w:val="110"/>
              <w:keepNext w:val="0"/>
              <w:keepLines w:val="0"/>
              <w:pageBreakBefore w:val="0"/>
              <w:widowControl w:val="0"/>
              <w:kinsoku/>
              <w:wordWrap/>
              <w:overflowPunct/>
              <w:topLinePunct w:val="0"/>
              <w:autoSpaceDE/>
              <w:autoSpaceDN/>
              <w:bidi w:val="0"/>
              <w:adjustRightInd w:val="0"/>
              <w:snapToGrid w:val="0"/>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项目</w:t>
            </w:r>
            <w:r>
              <w:rPr>
                <w:rFonts w:hint="eastAsia" w:ascii="仿宋" w:hAnsi="仿宋" w:eastAsia="仿宋" w:cs="仿宋"/>
                <w:color w:val="auto"/>
                <w:kern w:val="0"/>
                <w:sz w:val="24"/>
                <w:szCs w:val="24"/>
                <w:highlight w:val="none"/>
              </w:rPr>
              <w:t>选址位于</w:t>
            </w:r>
            <w:r>
              <w:rPr>
                <w:rFonts w:hint="eastAsia" w:ascii="仿宋" w:hAnsi="仿宋" w:eastAsia="仿宋" w:cs="仿宋"/>
                <w:color w:val="auto"/>
                <w:sz w:val="24"/>
                <w:szCs w:val="24"/>
              </w:rPr>
              <w:t>大通上窑工业集聚区</w:t>
            </w:r>
            <w:r>
              <w:rPr>
                <w:rFonts w:hint="eastAsia" w:ascii="仿宋" w:hAnsi="仿宋" w:eastAsia="仿宋" w:cs="仿宋"/>
                <w:color w:val="auto"/>
                <w:kern w:val="0"/>
                <w:sz w:val="24"/>
                <w:szCs w:val="24"/>
                <w:highlight w:val="none"/>
              </w:rPr>
              <w:t>内，区域内供水计划由</w:t>
            </w:r>
            <w:r>
              <w:rPr>
                <w:rFonts w:hint="eastAsia" w:ascii="仿宋" w:hAnsi="仿宋" w:eastAsia="仿宋" w:cs="仿宋"/>
                <w:color w:val="auto"/>
                <w:kern w:val="0"/>
                <w:sz w:val="24"/>
                <w:szCs w:val="24"/>
                <w:highlight w:val="none"/>
                <w:lang w:val="en-US" w:eastAsia="zh-CN"/>
              </w:rPr>
              <w:t>园区</w:t>
            </w:r>
            <w:r>
              <w:rPr>
                <w:rFonts w:hint="eastAsia" w:ascii="仿宋" w:hAnsi="仿宋" w:eastAsia="仿宋" w:cs="仿宋"/>
                <w:color w:val="auto"/>
                <w:kern w:val="0"/>
                <w:sz w:val="24"/>
                <w:szCs w:val="24"/>
                <w:highlight w:val="none"/>
              </w:rPr>
              <w:t>供水管网集中供给。评价区域内不涉及生活供水水源地保护区、特殊地下水资源保护区、生活供水水源地补给径流区，环境敏感程度为</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不敏感</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本</w:t>
            </w: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所在</w:t>
            </w:r>
            <w:r>
              <w:rPr>
                <w:rFonts w:hint="eastAsia" w:ascii="仿宋" w:hAnsi="仿宋" w:eastAsia="仿宋" w:cs="仿宋"/>
                <w:color w:val="auto"/>
                <w:kern w:val="0"/>
                <w:sz w:val="24"/>
                <w:szCs w:val="24"/>
                <w:highlight w:val="none"/>
              </w:rPr>
              <w:t>厂区用水由</w:t>
            </w:r>
            <w:r>
              <w:rPr>
                <w:rFonts w:hint="eastAsia" w:ascii="仿宋" w:hAnsi="仿宋" w:eastAsia="仿宋" w:cs="仿宋"/>
                <w:color w:val="auto"/>
                <w:kern w:val="0"/>
                <w:sz w:val="24"/>
                <w:szCs w:val="24"/>
                <w:highlight w:val="none"/>
                <w:lang w:val="en-US" w:eastAsia="zh-CN"/>
              </w:rPr>
              <w:t>园区</w:t>
            </w:r>
            <w:r>
              <w:rPr>
                <w:rFonts w:hint="eastAsia" w:ascii="仿宋" w:hAnsi="仿宋" w:eastAsia="仿宋" w:cs="仿宋"/>
                <w:color w:val="auto"/>
                <w:kern w:val="0"/>
                <w:sz w:val="24"/>
                <w:szCs w:val="24"/>
                <w:highlight w:val="none"/>
              </w:rPr>
              <w:t>供水管网供给，不采用区域地下水。</w:t>
            </w:r>
            <w:r>
              <w:rPr>
                <w:rFonts w:hint="eastAsia" w:ascii="仿宋" w:hAnsi="仿宋" w:eastAsia="仿宋" w:cs="仿宋"/>
                <w:color w:val="auto"/>
                <w:kern w:val="0"/>
                <w:sz w:val="24"/>
                <w:szCs w:val="24"/>
                <w:highlight w:val="none"/>
                <w:lang w:val="en-US" w:eastAsia="zh-CN"/>
              </w:rPr>
              <w:t>项目所在厂区</w:t>
            </w:r>
            <w:r>
              <w:rPr>
                <w:rFonts w:hint="eastAsia" w:ascii="仿宋" w:hAnsi="仿宋" w:eastAsia="仿宋" w:cs="仿宋"/>
                <w:color w:val="auto"/>
                <w:kern w:val="0"/>
                <w:sz w:val="24"/>
                <w:szCs w:val="24"/>
                <w:highlight w:val="none"/>
              </w:rPr>
              <w:t>采取清污分流的、雨污分流的排水体制，</w:t>
            </w:r>
            <w:r>
              <w:rPr>
                <w:rFonts w:hint="eastAsia" w:ascii="仿宋" w:hAnsi="仿宋" w:eastAsia="仿宋" w:cs="仿宋"/>
                <w:color w:val="auto"/>
                <w:kern w:val="0"/>
                <w:sz w:val="24"/>
                <w:szCs w:val="24"/>
                <w:highlight w:val="none"/>
                <w:lang w:val="en-US" w:eastAsia="zh-CN"/>
              </w:rPr>
              <w:t>厂区外排废水</w:t>
            </w:r>
            <w:r>
              <w:rPr>
                <w:rFonts w:hint="eastAsia" w:ascii="仿宋" w:hAnsi="仿宋" w:eastAsia="仿宋" w:cs="仿宋"/>
                <w:color w:val="auto"/>
                <w:kern w:val="0"/>
                <w:sz w:val="24"/>
                <w:szCs w:val="24"/>
                <w:highlight w:val="none"/>
              </w:rPr>
              <w:t>排入</w:t>
            </w:r>
            <w:r>
              <w:rPr>
                <w:rFonts w:hint="eastAsia" w:ascii="仿宋" w:hAnsi="仿宋" w:eastAsia="仿宋" w:cs="仿宋"/>
                <w:color w:val="auto"/>
                <w:kern w:val="0"/>
                <w:sz w:val="24"/>
                <w:szCs w:val="24"/>
                <w:highlight w:val="none"/>
                <w:lang w:val="en-US" w:eastAsia="zh-CN"/>
              </w:rPr>
              <w:t>上窑工业聚集区污水处理厂</w:t>
            </w:r>
            <w:r>
              <w:rPr>
                <w:rFonts w:hint="eastAsia" w:ascii="仿宋" w:hAnsi="仿宋" w:eastAsia="仿宋" w:cs="仿宋"/>
                <w:color w:val="auto"/>
                <w:kern w:val="0"/>
                <w:sz w:val="24"/>
                <w:szCs w:val="24"/>
                <w:highlight w:val="none"/>
              </w:rPr>
              <w:t>进一步处理，</w:t>
            </w:r>
            <w:r>
              <w:rPr>
                <w:rFonts w:hint="eastAsia" w:ascii="仿宋" w:hAnsi="仿宋" w:eastAsia="仿宋" w:cs="仿宋"/>
                <w:color w:val="auto"/>
                <w:kern w:val="0"/>
                <w:sz w:val="24"/>
                <w:szCs w:val="24"/>
                <w:highlight w:val="none"/>
                <w:lang w:eastAsia="zh-CN"/>
              </w:rPr>
              <w:t>最终排入窑河</w:t>
            </w:r>
            <w:r>
              <w:rPr>
                <w:rFonts w:hint="eastAsia" w:ascii="仿宋" w:hAnsi="仿宋" w:eastAsia="仿宋" w:cs="仿宋"/>
                <w:color w:val="auto"/>
                <w:kern w:val="0"/>
                <w:sz w:val="24"/>
                <w:szCs w:val="24"/>
                <w:highlight w:val="none"/>
              </w:rPr>
              <w:t>。</w:t>
            </w:r>
          </w:p>
          <w:p w14:paraId="0CDFAD23">
            <w:pPr>
              <w:keepNext w:val="0"/>
              <w:keepLines w:val="0"/>
              <w:pageBreakBefore w:val="0"/>
              <w:widowControl w:val="0"/>
              <w:kinsoku/>
              <w:wordWrap/>
              <w:overflowPunct/>
              <w:topLinePunct w:val="0"/>
              <w:bidi w:val="0"/>
              <w:spacing w:after="0" w:line="440" w:lineRule="exact"/>
              <w:ind w:left="0" w:leftChars="0" w:firstLine="436" w:firstLineChars="182"/>
              <w:jc w:val="both"/>
              <w:rPr>
                <w:rFonts w:hint="eastAsia" w:ascii="仿宋" w:hAnsi="仿宋" w:eastAsia="仿宋" w:cs="仿宋"/>
                <w:snapToGrid w:val="0"/>
                <w:color w:val="auto"/>
                <w:sz w:val="24"/>
                <w:szCs w:val="24"/>
                <w:highlight w:val="none"/>
                <w:lang w:val="en-US" w:eastAsia="zh-CN" w:bidi="ar-SA"/>
              </w:rPr>
            </w:pPr>
            <w:r>
              <w:rPr>
                <w:rFonts w:hint="eastAsia" w:ascii="仿宋" w:hAnsi="仿宋" w:eastAsia="仿宋" w:cs="仿宋"/>
                <w:snapToGrid w:val="0"/>
                <w:color w:val="auto"/>
                <w:sz w:val="24"/>
                <w:szCs w:val="24"/>
                <w:highlight w:val="none"/>
                <w:lang w:val="en-US" w:eastAsia="zh-CN" w:bidi="ar-SA"/>
              </w:rPr>
              <w:t>因此，本评价认为，项目生产用水由园区供水管网供给，不会对区域地下水水文条件造成不利影响；在按分区防渗的要求，做好地下水污染防治措施的前提下，项目运行不会对周围及下游地下水环境质量产生明显不利影响。</w:t>
            </w:r>
          </w:p>
          <w:p w14:paraId="4526B61D">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地下水污染防治措施坚持</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源头控制、末端防治</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相结合的原则，即采取主动控制和被动控制相结合的措施。</w:t>
            </w:r>
          </w:p>
          <w:p w14:paraId="17B9CBED">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对</w:t>
            </w:r>
            <w:r>
              <w:rPr>
                <w:rFonts w:hint="eastAsia" w:ascii="仿宋" w:hAnsi="仿宋" w:eastAsia="仿宋" w:cs="仿宋"/>
                <w:snapToGrid w:val="0"/>
                <w:color w:val="auto"/>
                <w:kern w:val="0"/>
                <w:sz w:val="24"/>
                <w:szCs w:val="24"/>
                <w:highlight w:val="none"/>
                <w:lang w:val="en-US" w:eastAsia="zh-CN"/>
              </w:rPr>
              <w:t>本项目</w:t>
            </w:r>
            <w:r>
              <w:rPr>
                <w:rFonts w:hint="eastAsia" w:ascii="仿宋" w:hAnsi="仿宋" w:eastAsia="仿宋" w:cs="仿宋"/>
                <w:snapToGrid w:val="0"/>
                <w:color w:val="auto"/>
                <w:kern w:val="0"/>
                <w:sz w:val="24"/>
                <w:szCs w:val="24"/>
                <w:highlight w:val="none"/>
              </w:rPr>
              <w:t>可能泄漏污染物的污染区地面进行防渗处理，并及时将泄漏/渗漏的污染物收集起来进行处理，可有效防治洒落地面的污染物渗入地下。</w:t>
            </w:r>
          </w:p>
          <w:p w14:paraId="4417F05D">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将</w:t>
            </w:r>
            <w:r>
              <w:rPr>
                <w:rFonts w:hint="eastAsia" w:ascii="仿宋" w:hAnsi="仿宋" w:eastAsia="仿宋" w:cs="仿宋"/>
                <w:snapToGrid w:val="0"/>
                <w:color w:val="auto"/>
                <w:kern w:val="0"/>
                <w:sz w:val="24"/>
                <w:szCs w:val="24"/>
                <w:highlight w:val="none"/>
                <w:lang w:val="en-US" w:eastAsia="zh-CN"/>
              </w:rPr>
              <w:t>本项目涉及的区域</w:t>
            </w:r>
            <w:r>
              <w:rPr>
                <w:rFonts w:hint="eastAsia" w:ascii="仿宋" w:hAnsi="仿宋" w:eastAsia="仿宋" w:cs="仿宋"/>
                <w:snapToGrid w:val="0"/>
                <w:color w:val="auto"/>
                <w:kern w:val="0"/>
                <w:sz w:val="24"/>
                <w:szCs w:val="24"/>
                <w:highlight w:val="none"/>
              </w:rPr>
              <w:t>划分为重点污染防治区、一般污染防治区。</w:t>
            </w:r>
          </w:p>
          <w:p w14:paraId="1DE5E6A2">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rPr>
                <w:rFonts w:hint="eastAsia" w:ascii="仿宋" w:hAnsi="仿宋" w:eastAsia="仿宋" w:cs="仿宋"/>
                <w:snapToGrid w:val="0"/>
                <w:color w:val="auto"/>
                <w:kern w:val="0"/>
                <w:sz w:val="24"/>
                <w:szCs w:val="24"/>
                <w:highlight w:val="none"/>
                <w:u w:val="none"/>
                <w:lang w:val="en-US" w:eastAsia="zh-CN"/>
              </w:rPr>
            </w:pPr>
            <w:r>
              <w:rPr>
                <w:rFonts w:hint="eastAsia" w:ascii="仿宋" w:hAnsi="仿宋" w:eastAsia="仿宋" w:cs="仿宋"/>
                <w:b/>
                <w:snapToGrid w:val="0"/>
                <w:color w:val="auto"/>
                <w:kern w:val="0"/>
                <w:sz w:val="24"/>
                <w:szCs w:val="24"/>
                <w:highlight w:val="none"/>
              </w:rPr>
              <w:t>重点污染防治区：</w:t>
            </w:r>
            <w:r>
              <w:rPr>
                <w:rFonts w:hint="eastAsia" w:ascii="仿宋" w:hAnsi="仿宋" w:eastAsia="仿宋" w:cs="仿宋"/>
                <w:snapToGrid w:val="0"/>
                <w:color w:val="auto"/>
                <w:kern w:val="0"/>
                <w:sz w:val="24"/>
                <w:szCs w:val="24"/>
                <w:highlight w:val="none"/>
              </w:rPr>
              <w:t>指位于地下或者半地下的生产功能单元，污染地下水环境的污染泄漏后不容易被及时发现和处理的区域或部位。</w:t>
            </w:r>
            <w:r>
              <w:rPr>
                <w:rFonts w:hint="eastAsia" w:ascii="仿宋" w:hAnsi="仿宋" w:eastAsia="仿宋" w:cs="仿宋"/>
                <w:snapToGrid w:val="0"/>
                <w:color w:val="auto"/>
                <w:kern w:val="0"/>
                <w:sz w:val="24"/>
                <w:szCs w:val="24"/>
                <w:highlight w:val="none"/>
                <w:u w:val="none"/>
              </w:rPr>
              <w:t>包括</w:t>
            </w:r>
            <w:r>
              <w:rPr>
                <w:rFonts w:hint="eastAsia" w:ascii="仿宋" w:hAnsi="仿宋" w:eastAsia="仿宋" w:cs="仿宋"/>
                <w:snapToGrid w:val="0"/>
                <w:color w:val="auto"/>
                <w:kern w:val="0"/>
                <w:sz w:val="24"/>
                <w:szCs w:val="24"/>
                <w:highlight w:val="none"/>
                <w:u w:val="none"/>
                <w:lang w:eastAsia="zh-CN"/>
              </w:rPr>
              <w:t>危废仓库、</w:t>
            </w:r>
            <w:r>
              <w:rPr>
                <w:rFonts w:hint="eastAsia" w:ascii="仿宋" w:hAnsi="仿宋" w:eastAsia="仿宋" w:cs="仿宋"/>
                <w:snapToGrid w:val="0"/>
                <w:color w:val="auto"/>
                <w:kern w:val="0"/>
                <w:sz w:val="24"/>
                <w:szCs w:val="24"/>
                <w:highlight w:val="none"/>
                <w:u w:val="none"/>
                <w:lang w:val="en-US" w:eastAsia="zh-CN"/>
              </w:rPr>
              <w:t>沉淀池、污泥堆存区</w:t>
            </w:r>
            <w:r>
              <w:rPr>
                <w:rFonts w:hint="eastAsia" w:ascii="仿宋" w:hAnsi="仿宋" w:eastAsia="仿宋" w:cs="仿宋"/>
                <w:snapToGrid w:val="0"/>
                <w:color w:val="auto"/>
                <w:kern w:val="0"/>
                <w:sz w:val="24"/>
                <w:szCs w:val="24"/>
                <w:highlight w:val="none"/>
                <w:u w:val="none"/>
              </w:rPr>
              <w:t>等区域。</w:t>
            </w:r>
          </w:p>
          <w:p w14:paraId="55E88807">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一般污染防治区：</w:t>
            </w:r>
            <w:r>
              <w:rPr>
                <w:rFonts w:hint="eastAsia" w:ascii="仿宋" w:hAnsi="仿宋" w:eastAsia="仿宋" w:cs="仿宋"/>
                <w:snapToGrid w:val="0"/>
                <w:color w:val="auto"/>
                <w:kern w:val="0"/>
                <w:sz w:val="24"/>
                <w:szCs w:val="24"/>
                <w:highlight w:val="none"/>
              </w:rPr>
              <w:t>根据项目特点，结合水文地质条件，对可能会产生一定程度的污染、但建（构）筑物基础落在泥岩裸露区或填方区的工艺区域或部位，划为一般防控区；</w:t>
            </w:r>
            <w:r>
              <w:rPr>
                <w:rFonts w:hint="eastAsia" w:ascii="仿宋" w:hAnsi="仿宋" w:eastAsia="仿宋" w:cs="仿宋"/>
                <w:snapToGrid w:val="0"/>
                <w:color w:val="auto"/>
                <w:kern w:val="0"/>
                <w:sz w:val="24"/>
                <w:szCs w:val="24"/>
                <w:highlight w:val="none"/>
                <w:lang w:val="en-US" w:eastAsia="zh-CN"/>
              </w:rPr>
              <w:t>主要为生产车间、一般固废库</w:t>
            </w:r>
            <w:r>
              <w:rPr>
                <w:rFonts w:hint="eastAsia" w:ascii="仿宋" w:hAnsi="仿宋" w:eastAsia="仿宋" w:cs="仿宋"/>
                <w:snapToGrid w:val="0"/>
                <w:color w:val="auto"/>
                <w:kern w:val="0"/>
                <w:sz w:val="24"/>
                <w:szCs w:val="24"/>
                <w:highlight w:val="none"/>
              </w:rPr>
              <w:t>。</w:t>
            </w:r>
          </w:p>
          <w:p w14:paraId="0426A5ED">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分区防渗措施</w:t>
            </w:r>
          </w:p>
          <w:p w14:paraId="0CB279CE">
            <w:pPr>
              <w:keepNext w:val="0"/>
              <w:keepLines w:val="0"/>
              <w:pageBreakBefore w:val="0"/>
              <w:widowControl w:val="0"/>
              <w:kinsoku/>
              <w:wordWrap/>
              <w:overflowPunct/>
              <w:topLinePunct w:val="0"/>
              <w:bidi w:val="0"/>
              <w:adjustRightInd w:val="0"/>
              <w:snapToGrid w:val="0"/>
              <w:spacing w:line="44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针对</w:t>
            </w:r>
            <w:r>
              <w:rPr>
                <w:rFonts w:hint="eastAsia" w:ascii="仿宋" w:hAnsi="仿宋" w:eastAsia="仿宋" w:cs="仿宋"/>
                <w:snapToGrid w:val="0"/>
                <w:color w:val="auto"/>
                <w:kern w:val="0"/>
                <w:sz w:val="24"/>
                <w:szCs w:val="24"/>
                <w:highlight w:val="none"/>
                <w:u w:val="none"/>
              </w:rPr>
              <w:t>危险废物</w:t>
            </w:r>
            <w:r>
              <w:rPr>
                <w:rFonts w:hint="eastAsia" w:ascii="仿宋" w:hAnsi="仿宋" w:eastAsia="仿宋" w:cs="仿宋"/>
                <w:snapToGrid w:val="0"/>
                <w:color w:val="auto"/>
                <w:kern w:val="0"/>
                <w:sz w:val="24"/>
                <w:szCs w:val="24"/>
                <w:highlight w:val="none"/>
                <w:u w:val="none"/>
                <w:lang w:eastAsia="zh-CN"/>
              </w:rPr>
              <w:t>危废仓库、</w:t>
            </w:r>
            <w:r>
              <w:rPr>
                <w:rFonts w:hint="eastAsia" w:ascii="仿宋" w:hAnsi="仿宋" w:eastAsia="仿宋" w:cs="仿宋"/>
                <w:snapToGrid w:val="0"/>
                <w:color w:val="auto"/>
                <w:kern w:val="0"/>
                <w:sz w:val="24"/>
                <w:szCs w:val="24"/>
                <w:highlight w:val="none"/>
                <w:u w:val="none"/>
                <w:lang w:val="en-US" w:eastAsia="zh-CN"/>
              </w:rPr>
              <w:t>废水收集池</w:t>
            </w:r>
            <w:r>
              <w:rPr>
                <w:rFonts w:hint="eastAsia" w:ascii="仿宋" w:hAnsi="仿宋" w:eastAsia="仿宋" w:cs="仿宋"/>
                <w:snapToGrid w:val="0"/>
                <w:color w:val="auto"/>
                <w:kern w:val="0"/>
                <w:sz w:val="24"/>
                <w:szCs w:val="24"/>
                <w:highlight w:val="none"/>
                <w:u w:val="none"/>
              </w:rPr>
              <w:t>均</w:t>
            </w:r>
            <w:r>
              <w:rPr>
                <w:rFonts w:hint="eastAsia" w:ascii="仿宋" w:hAnsi="仿宋" w:eastAsia="仿宋" w:cs="仿宋"/>
                <w:snapToGrid w:val="0"/>
                <w:color w:val="auto"/>
                <w:kern w:val="0"/>
                <w:sz w:val="24"/>
                <w:szCs w:val="24"/>
                <w:highlight w:val="none"/>
              </w:rPr>
              <w:t>应采用防渗处理措施。重点污染防治区参照《危险废物安全填埋处置工程建设技术要求》（国家环保局2004.4.30颁布试行）和</w:t>
            </w:r>
            <w:r>
              <w:rPr>
                <w:rFonts w:hint="eastAsia" w:ascii="仿宋" w:hAnsi="仿宋" w:eastAsia="仿宋" w:cs="仿宋"/>
                <w:snapToGrid w:val="0"/>
                <w:color w:val="auto"/>
                <w:kern w:val="24"/>
                <w:sz w:val="24"/>
                <w:szCs w:val="24"/>
                <w:lang w:val="en-US" w:eastAsia="zh-CN" w:bidi="ar-SA"/>
              </w:rPr>
              <w:t>《危险废物贮存污染控制标准》（GB18597-2023）</w:t>
            </w:r>
            <w:r>
              <w:rPr>
                <w:rFonts w:hint="eastAsia" w:ascii="仿宋" w:hAnsi="仿宋" w:eastAsia="仿宋" w:cs="仿宋"/>
                <w:snapToGrid w:val="0"/>
                <w:color w:val="auto"/>
                <w:kern w:val="0"/>
                <w:sz w:val="24"/>
                <w:szCs w:val="24"/>
                <w:highlight w:val="none"/>
              </w:rPr>
              <w:t>以及《</w:t>
            </w:r>
            <w:r>
              <w:rPr>
                <w:rFonts w:hint="eastAsia" w:ascii="仿宋" w:hAnsi="仿宋" w:eastAsia="仿宋" w:cs="仿宋"/>
                <w:snapToGrid w:val="0"/>
                <w:color w:val="auto"/>
                <w:spacing w:val="20"/>
                <w:kern w:val="0"/>
                <w:sz w:val="24"/>
                <w:szCs w:val="24"/>
                <w:highlight w:val="none"/>
              </w:rPr>
              <w:t>石油化工防渗工程技术规范</w:t>
            </w:r>
            <w:r>
              <w:rPr>
                <w:rFonts w:hint="eastAsia" w:ascii="仿宋" w:hAnsi="仿宋" w:eastAsia="仿宋" w:cs="仿宋"/>
                <w:snapToGrid w:val="0"/>
                <w:color w:val="auto"/>
                <w:kern w:val="0"/>
                <w:sz w:val="24"/>
                <w:szCs w:val="24"/>
                <w:highlight w:val="none"/>
              </w:rPr>
              <w:t>》（GBT 50934-2013）等相关要求进行分析。一般防治区按《一般工业固体废物贮存、处置污染控制标准》（18599-20</w:t>
            </w:r>
            <w:r>
              <w:rPr>
                <w:rFonts w:hint="eastAsia" w:ascii="仿宋" w:hAnsi="仿宋" w:eastAsia="仿宋" w:cs="仿宋"/>
                <w:snapToGrid w:val="0"/>
                <w:color w:val="auto"/>
                <w:kern w:val="0"/>
                <w:sz w:val="24"/>
                <w:szCs w:val="24"/>
                <w:highlight w:val="none"/>
                <w:lang w:val="en-US" w:eastAsia="zh-CN"/>
              </w:rPr>
              <w:t>20</w:t>
            </w:r>
            <w:r>
              <w:rPr>
                <w:rFonts w:hint="eastAsia" w:ascii="仿宋" w:hAnsi="仿宋" w:eastAsia="仿宋" w:cs="仿宋"/>
                <w:snapToGrid w:val="0"/>
                <w:color w:val="auto"/>
                <w:kern w:val="0"/>
                <w:sz w:val="24"/>
                <w:szCs w:val="24"/>
                <w:highlight w:val="none"/>
              </w:rPr>
              <w:t>）等相关要求进行分析。重点防渗分区采用人工材料防渗时，防渗层渗透系数≤10</w:t>
            </w:r>
            <w:r>
              <w:rPr>
                <w:rFonts w:hint="eastAsia" w:ascii="仿宋" w:hAnsi="仿宋" w:eastAsia="仿宋" w:cs="仿宋"/>
                <w:snapToGrid w:val="0"/>
                <w:color w:val="auto"/>
                <w:kern w:val="0"/>
                <w:sz w:val="24"/>
                <w:szCs w:val="24"/>
                <w:highlight w:val="none"/>
                <w:vertAlign w:val="superscript"/>
              </w:rPr>
              <w:t>-10</w:t>
            </w:r>
            <w:r>
              <w:rPr>
                <w:rFonts w:hint="eastAsia" w:ascii="仿宋" w:hAnsi="仿宋" w:eastAsia="仿宋" w:cs="仿宋"/>
                <w:snapToGrid w:val="0"/>
                <w:color w:val="auto"/>
                <w:kern w:val="0"/>
                <w:sz w:val="24"/>
                <w:szCs w:val="24"/>
                <w:highlight w:val="none"/>
              </w:rPr>
              <w:t>厘米/秒。</w:t>
            </w:r>
          </w:p>
          <w:p w14:paraId="28393013">
            <w:pPr>
              <w:keepNext w:val="0"/>
              <w:keepLines w:val="0"/>
              <w:pageBreakBefore w:val="0"/>
              <w:widowControl/>
              <w:kinsoku/>
              <w:wordWrap/>
              <w:overflowPunct/>
              <w:topLinePunct w:val="0"/>
              <w:autoSpaceDE/>
              <w:autoSpaceDN/>
              <w:bidi w:val="0"/>
              <w:adjustRightInd w:val="0"/>
              <w:snapToGrid w:val="0"/>
              <w:spacing w:line="240" w:lineRule="auto"/>
              <w:ind w:firstLine="620" w:firstLineChars="294"/>
              <w:jc w:val="center"/>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bCs/>
                <w:snapToGrid w:val="0"/>
                <w:color w:val="auto"/>
                <w:spacing w:val="0"/>
                <w:w w:val="100"/>
                <w:kern w:val="0"/>
                <w:sz w:val="21"/>
                <w:szCs w:val="21"/>
                <w:lang w:val="en-US" w:eastAsia="zh-CN" w:bidi="ar-SA"/>
              </w:rPr>
              <w:t>表</w:t>
            </w:r>
            <w:r>
              <w:rPr>
                <w:rFonts w:hint="eastAsia" w:ascii="仿宋" w:hAnsi="仿宋" w:eastAsia="仿宋" w:cs="仿宋"/>
                <w:b/>
                <w:bCs/>
                <w:snapToGrid/>
                <w:color w:val="auto"/>
                <w:spacing w:val="0"/>
                <w:w w:val="100"/>
                <w:sz w:val="21"/>
                <w:szCs w:val="21"/>
                <w:lang w:val="en-US" w:eastAsia="zh-CN" w:bidi="ar-SA"/>
              </w:rPr>
              <w:t>4-20</w:t>
            </w:r>
            <w:r>
              <w:rPr>
                <w:rFonts w:hint="eastAsia" w:ascii="仿宋" w:hAnsi="仿宋" w:eastAsia="仿宋" w:cs="仿宋"/>
                <w:b/>
                <w:bCs/>
                <w:snapToGrid w:val="0"/>
                <w:color w:val="auto"/>
                <w:spacing w:val="0"/>
                <w:w w:val="100"/>
                <w:kern w:val="0"/>
                <w:sz w:val="21"/>
                <w:szCs w:val="21"/>
                <w:lang w:val="en-US" w:eastAsia="zh-CN" w:bidi="ar-SA"/>
              </w:rPr>
              <w:t xml:space="preserve"> 分区防渗要求表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2119"/>
              <w:gridCol w:w="4975"/>
            </w:tblGrid>
            <w:tr w14:paraId="0329E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94" w:type="pct"/>
                  <w:tcBorders>
                    <w:tl2br w:val="nil"/>
                    <w:tr2bl w:val="nil"/>
                  </w:tcBorders>
                  <w:noWrap w:val="0"/>
                  <w:vAlign w:val="center"/>
                </w:tcPr>
                <w:p w14:paraId="20D8E496">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防渗分区</w:t>
                  </w:r>
                </w:p>
              </w:tc>
              <w:tc>
                <w:tcPr>
                  <w:tcW w:w="1286" w:type="pct"/>
                  <w:tcBorders>
                    <w:tl2br w:val="nil"/>
                    <w:tr2bl w:val="nil"/>
                  </w:tcBorders>
                  <w:noWrap w:val="0"/>
                  <w:vAlign w:val="center"/>
                </w:tcPr>
                <w:p w14:paraId="7599F0C9">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防渗区域</w:t>
                  </w:r>
                </w:p>
              </w:tc>
              <w:tc>
                <w:tcPr>
                  <w:tcW w:w="3019" w:type="pct"/>
                  <w:tcBorders>
                    <w:tl2br w:val="nil"/>
                    <w:tr2bl w:val="nil"/>
                  </w:tcBorders>
                  <w:noWrap w:val="0"/>
                  <w:vAlign w:val="center"/>
                </w:tcPr>
                <w:p w14:paraId="0AFBB151">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防渗要求</w:t>
                  </w:r>
                </w:p>
              </w:tc>
            </w:tr>
            <w:tr w14:paraId="33FCC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pct"/>
                  <w:vMerge w:val="restart"/>
                  <w:tcBorders>
                    <w:tl2br w:val="nil"/>
                    <w:tr2bl w:val="nil"/>
                  </w:tcBorders>
                  <w:noWrap w:val="0"/>
                  <w:vAlign w:val="center"/>
                </w:tcPr>
                <w:p w14:paraId="5C1FBF99">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重点防渗区</w:t>
                  </w:r>
                </w:p>
              </w:tc>
              <w:tc>
                <w:tcPr>
                  <w:tcW w:w="1286" w:type="pct"/>
                  <w:tcBorders>
                    <w:tl2br w:val="nil"/>
                    <w:tr2bl w:val="nil"/>
                  </w:tcBorders>
                  <w:noWrap w:val="0"/>
                  <w:vAlign w:val="center"/>
                </w:tcPr>
                <w:p w14:paraId="00967BAF">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沉淀池、污泥堆存区</w:t>
                  </w:r>
                </w:p>
              </w:tc>
              <w:tc>
                <w:tcPr>
                  <w:tcW w:w="3019" w:type="pct"/>
                  <w:tcBorders>
                    <w:tl2br w:val="nil"/>
                    <w:tr2bl w:val="nil"/>
                  </w:tcBorders>
                  <w:noWrap w:val="0"/>
                  <w:vAlign w:val="center"/>
                </w:tcPr>
                <w:p w14:paraId="3D77637A">
                  <w:pPr>
                    <w:pStyle w:val="58"/>
                    <w:keepNext w:val="0"/>
                    <w:keepLines w:val="0"/>
                    <w:suppressLineNumbers w:val="0"/>
                    <w:bidi w:val="0"/>
                    <w:spacing w:before="0" w:beforeAutospacing="0" w:after="0" w:afterAutospacing="0" w:line="240" w:lineRule="auto"/>
                    <w:ind w:left="0" w:right="0"/>
                    <w:jc w:val="both"/>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1、结构厚度不应小于250mm，管沟基层不小于150mm。2、混凝土的抗渗等级不应低于P8，且水池的内表面应涂刷水泥基渗透结晶型或喷涂聚脲等防水涂料，或在混凝土内掺加水泥基渗透结晶型防水剂。</w:t>
                  </w:r>
                </w:p>
                <w:p w14:paraId="6DB55B6C">
                  <w:pPr>
                    <w:pStyle w:val="58"/>
                    <w:keepNext w:val="0"/>
                    <w:keepLines w:val="0"/>
                    <w:suppressLineNumbers w:val="0"/>
                    <w:bidi w:val="0"/>
                    <w:spacing w:before="0" w:beforeAutospacing="0" w:after="0" w:afterAutospacing="0" w:line="240" w:lineRule="auto"/>
                    <w:ind w:left="0" w:right="0"/>
                    <w:jc w:val="both"/>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3、水泥基渗透结晶形防水涂料厚度不小于1.0mm，喷涂聚脲防水涂料厚度不小于1.5mm。</w:t>
                  </w:r>
                </w:p>
                <w:p w14:paraId="0CB48339">
                  <w:pPr>
                    <w:pStyle w:val="58"/>
                    <w:keepNext w:val="0"/>
                    <w:keepLines w:val="0"/>
                    <w:suppressLineNumbers w:val="0"/>
                    <w:bidi w:val="0"/>
                    <w:spacing w:before="0" w:beforeAutospacing="0" w:after="0" w:afterAutospacing="0" w:line="240" w:lineRule="auto"/>
                    <w:ind w:left="0" w:right="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kern w:val="0"/>
                      <w:sz w:val="21"/>
                      <w:szCs w:val="21"/>
                      <w:lang w:val="en-US" w:eastAsia="zh-CN" w:bidi="ar"/>
                    </w:rPr>
                    <w:t>4、混凝土内掺加1%～2%水泥基渗透结晶型防水剂。</w:t>
                  </w:r>
                </w:p>
              </w:tc>
            </w:tr>
            <w:tr w14:paraId="4C914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pct"/>
                  <w:vMerge w:val="continue"/>
                  <w:tcBorders>
                    <w:tl2br w:val="nil"/>
                    <w:tr2bl w:val="nil"/>
                  </w:tcBorders>
                  <w:noWrap w:val="0"/>
                  <w:vAlign w:val="center"/>
                </w:tcPr>
                <w:p w14:paraId="24E55C03">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p>
              </w:tc>
              <w:tc>
                <w:tcPr>
                  <w:tcW w:w="1286" w:type="pct"/>
                  <w:tcBorders>
                    <w:tl2br w:val="nil"/>
                    <w:tr2bl w:val="nil"/>
                  </w:tcBorders>
                  <w:noWrap w:val="0"/>
                  <w:vAlign w:val="center"/>
                </w:tcPr>
                <w:p w14:paraId="0CBD0C8E">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危废仓库</w:t>
                  </w:r>
                </w:p>
              </w:tc>
              <w:tc>
                <w:tcPr>
                  <w:tcW w:w="3019" w:type="pct"/>
                  <w:tcBorders>
                    <w:tl2br w:val="nil"/>
                    <w:tr2bl w:val="nil"/>
                  </w:tcBorders>
                  <w:noWrap w:val="0"/>
                  <w:vAlign w:val="center"/>
                </w:tcPr>
                <w:p w14:paraId="494C79C9">
                  <w:pPr>
                    <w:pStyle w:val="58"/>
                    <w:keepNext w:val="0"/>
                    <w:keepLines w:val="0"/>
                    <w:suppressLineNumbers w:val="0"/>
                    <w:bidi w:val="0"/>
                    <w:spacing w:before="0" w:beforeAutospacing="0" w:after="0" w:afterAutospacing="0" w:line="240" w:lineRule="auto"/>
                    <w:ind w:left="0" w:right="0"/>
                    <w:jc w:val="both"/>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基础防渗层为至少1m厚黏土层（渗透系数不大于10</w:t>
                  </w:r>
                  <w:r>
                    <w:rPr>
                      <w:rFonts w:hint="eastAsia" w:ascii="仿宋" w:hAnsi="仿宋" w:eastAsia="仿宋" w:cs="仿宋"/>
                      <w:color w:val="000000"/>
                      <w:kern w:val="0"/>
                      <w:sz w:val="21"/>
                      <w:szCs w:val="21"/>
                      <w:vertAlign w:val="superscript"/>
                      <w:lang w:val="en-US" w:eastAsia="zh-CN" w:bidi="ar"/>
                    </w:rPr>
                    <w:t>-7</w:t>
                  </w:r>
                  <w:r>
                    <w:rPr>
                      <w:rFonts w:hint="eastAsia" w:ascii="仿宋" w:hAnsi="仿宋" w:eastAsia="仿宋" w:cs="仿宋"/>
                      <w:color w:val="000000"/>
                      <w:kern w:val="0"/>
                      <w:sz w:val="21"/>
                      <w:szCs w:val="21"/>
                      <w:lang w:val="en-US" w:eastAsia="zh-CN" w:bidi="ar"/>
                    </w:rPr>
                    <w:t xml:space="preserve"> cm/s），或至少2 mm厚高密度聚乙烯膜等人工防渗材料（渗透系数不大于10</w:t>
                  </w:r>
                  <w:r>
                    <w:rPr>
                      <w:rFonts w:hint="eastAsia" w:ascii="仿宋" w:hAnsi="仿宋" w:eastAsia="仿宋" w:cs="仿宋"/>
                      <w:color w:val="000000"/>
                      <w:kern w:val="0"/>
                      <w:sz w:val="21"/>
                      <w:szCs w:val="21"/>
                      <w:vertAlign w:val="superscript"/>
                      <w:lang w:val="en-US" w:eastAsia="zh-CN" w:bidi="ar"/>
                    </w:rPr>
                    <w:t>-10</w:t>
                  </w:r>
                  <w:r>
                    <w:rPr>
                      <w:rFonts w:hint="eastAsia" w:ascii="仿宋" w:hAnsi="仿宋" w:eastAsia="仿宋" w:cs="仿宋"/>
                      <w:color w:val="000000"/>
                      <w:kern w:val="0"/>
                      <w:sz w:val="21"/>
                      <w:szCs w:val="21"/>
                      <w:lang w:val="en-US" w:eastAsia="zh-CN" w:bidi="ar"/>
                    </w:rPr>
                    <w:t>cm/s），或其他防渗性能等效的材料。</w:t>
                  </w:r>
                </w:p>
              </w:tc>
            </w:tr>
            <w:tr w14:paraId="00B71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pct"/>
                  <w:tcBorders>
                    <w:tl2br w:val="nil"/>
                    <w:tr2bl w:val="nil"/>
                  </w:tcBorders>
                  <w:noWrap w:val="0"/>
                  <w:vAlign w:val="center"/>
                </w:tcPr>
                <w:p w14:paraId="456AB7E6">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一般防渗区</w:t>
                  </w:r>
                </w:p>
              </w:tc>
              <w:tc>
                <w:tcPr>
                  <w:tcW w:w="1286" w:type="pct"/>
                  <w:tcBorders>
                    <w:tl2br w:val="nil"/>
                    <w:tr2bl w:val="nil"/>
                  </w:tcBorders>
                  <w:noWrap w:val="0"/>
                  <w:vAlign w:val="center"/>
                </w:tcPr>
                <w:p w14:paraId="21BF81F3">
                  <w:pPr>
                    <w:pStyle w:val="58"/>
                    <w:keepNext w:val="0"/>
                    <w:keepLines w:val="0"/>
                    <w:suppressLineNumbers w:val="0"/>
                    <w:bidi w:val="0"/>
                    <w:spacing w:before="0" w:beforeAutospacing="0" w:after="0" w:afterAutospacing="0" w:line="240" w:lineRule="auto"/>
                    <w:ind w:left="0" w:right="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生产车间、一般固废库</w:t>
                  </w:r>
                </w:p>
              </w:tc>
              <w:tc>
                <w:tcPr>
                  <w:tcW w:w="3019" w:type="pct"/>
                  <w:tcBorders>
                    <w:tl2br w:val="nil"/>
                    <w:tr2bl w:val="nil"/>
                  </w:tcBorders>
                  <w:noWrap w:val="0"/>
                  <w:vAlign w:val="center"/>
                </w:tcPr>
                <w:p w14:paraId="7EAB0999">
                  <w:pPr>
                    <w:keepNext w:val="0"/>
                    <w:keepLines w:val="0"/>
                    <w:widowControl/>
                    <w:suppressLineNumbers w:val="0"/>
                    <w:spacing w:before="0" w:beforeAutospacing="0" w:after="0" w:afterAutospacing="0" w:line="240" w:lineRule="auto"/>
                    <w:ind w:left="0" w:leftChars="0" w:right="0" w:firstLine="0" w:firstLineChars="0"/>
                    <w:jc w:val="left"/>
                    <w:rPr>
                      <w:rFonts w:hint="eastAsia" w:ascii="仿宋" w:hAnsi="仿宋" w:eastAsia="仿宋" w:cs="仿宋"/>
                    </w:rPr>
                  </w:pPr>
                  <w:r>
                    <w:rPr>
                      <w:rFonts w:hint="eastAsia" w:ascii="仿宋" w:hAnsi="仿宋" w:eastAsia="仿宋" w:cs="仿宋"/>
                      <w:color w:val="000000"/>
                      <w:kern w:val="0"/>
                      <w:sz w:val="21"/>
                      <w:szCs w:val="21"/>
                      <w:lang w:val="en-US" w:eastAsia="zh-CN" w:bidi="ar"/>
                    </w:rPr>
                    <w:t xml:space="preserve">1、结构厚度不小于250mm。 </w:t>
                  </w:r>
                </w:p>
                <w:p w14:paraId="667009A5">
                  <w:pPr>
                    <w:keepNext w:val="0"/>
                    <w:keepLines w:val="0"/>
                    <w:widowControl/>
                    <w:suppressLineNumbers w:val="0"/>
                    <w:spacing w:before="0" w:beforeAutospacing="0" w:after="0" w:afterAutospacing="0" w:line="240" w:lineRule="auto"/>
                    <w:ind w:left="0" w:leftChars="0" w:right="0" w:firstLine="0" w:firstLineChars="0"/>
                    <w:jc w:val="left"/>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kern w:val="0"/>
                      <w:sz w:val="21"/>
                      <w:szCs w:val="21"/>
                      <w:lang w:val="en-US" w:eastAsia="zh-CN" w:bidi="ar"/>
                    </w:rPr>
                    <w:t xml:space="preserve">2、混凝土的抗渗等级不低于P8。 </w:t>
                  </w:r>
                </w:p>
              </w:tc>
            </w:tr>
          </w:tbl>
          <w:p w14:paraId="469F7B9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eastAsia" w:ascii="仿宋" w:hAnsi="仿宋" w:eastAsia="仿宋" w:cs="仿宋"/>
                <w:b w:val="0"/>
                <w:bCs/>
                <w:snapToGrid w:val="0"/>
                <w:color w:val="FF0000"/>
                <w:kern w:val="0"/>
                <w:sz w:val="24"/>
                <w:highlight w:val="none"/>
                <w:lang w:eastAsia="zh-CN"/>
              </w:rPr>
            </w:pPr>
            <w:r>
              <w:rPr>
                <w:rFonts w:hint="eastAsia" w:ascii="仿宋" w:hAnsi="仿宋" w:eastAsia="仿宋" w:cs="仿宋"/>
                <w:b w:val="0"/>
                <w:bCs/>
                <w:snapToGrid w:val="0"/>
                <w:color w:val="auto"/>
                <w:kern w:val="0"/>
                <w:sz w:val="24"/>
                <w:highlight w:val="none"/>
                <w:lang w:eastAsia="zh-CN"/>
              </w:rPr>
              <w:t>综上所述，在确保各项防渗措施得以落实，并加强维护和库内环境管理的前提下，可有效控制本项目污染物下渗现象，避免污染地下水。</w:t>
            </w:r>
          </w:p>
          <w:p w14:paraId="55B253B5">
            <w:pPr>
              <w:spacing w:line="360" w:lineRule="auto"/>
              <w:jc w:val="left"/>
              <w:rPr>
                <w:rFonts w:hint="eastAsia" w:ascii="仿宋" w:hAnsi="仿宋" w:eastAsia="仿宋" w:cs="仿宋"/>
                <w:b/>
                <w:bCs/>
                <w:sz w:val="24"/>
              </w:rPr>
            </w:pPr>
            <w:r>
              <w:rPr>
                <w:rFonts w:hint="eastAsia" w:ascii="仿宋" w:hAnsi="仿宋" w:eastAsia="仿宋" w:cs="仿宋"/>
                <w:b/>
                <w:bCs/>
                <w:sz w:val="24"/>
                <w:lang w:val="en-US" w:eastAsia="zh-CN"/>
              </w:rPr>
              <w:t>（六）</w:t>
            </w:r>
            <w:r>
              <w:rPr>
                <w:rFonts w:hint="eastAsia" w:ascii="仿宋" w:hAnsi="仿宋" w:eastAsia="仿宋" w:cs="仿宋"/>
                <w:b/>
                <w:bCs/>
                <w:sz w:val="24"/>
              </w:rPr>
              <w:t>环境风险分析</w:t>
            </w:r>
          </w:p>
          <w:p w14:paraId="1EFB841F">
            <w:pPr>
              <w:spacing w:line="360" w:lineRule="auto"/>
              <w:ind w:firstLine="482" w:firstLineChars="200"/>
              <w:jc w:val="left"/>
              <w:rPr>
                <w:rFonts w:hint="eastAsia" w:ascii="仿宋" w:hAnsi="仿宋" w:eastAsia="仿宋" w:cs="仿宋"/>
                <w:b/>
                <w:bCs w:val="0"/>
                <w:sz w:val="24"/>
              </w:rPr>
            </w:pPr>
            <w:r>
              <w:rPr>
                <w:rFonts w:hint="eastAsia" w:ascii="仿宋" w:hAnsi="仿宋" w:eastAsia="仿宋" w:cs="仿宋"/>
                <w:b/>
                <w:bCs w:val="0"/>
                <w:sz w:val="24"/>
                <w:lang w:val="en-US" w:eastAsia="zh-CN"/>
              </w:rPr>
              <w:t>（1）危险物质和风险源分布情况</w:t>
            </w:r>
          </w:p>
          <w:p w14:paraId="231D2669">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根据《建设项目环境风险评价技术导则》（HJ169-2018）可知，环境风险评价工作等级划分为一级、二级、三级。根据建设项目涉及的物质及工艺系统危险性和所在地的环境敏感性确定环境风险潜势，按照表 4-</w:t>
            </w:r>
            <w:r>
              <w:rPr>
                <w:rFonts w:hint="eastAsia" w:ascii="仿宋" w:hAnsi="仿宋" w:eastAsia="仿宋" w:cs="仿宋"/>
                <w:bCs/>
                <w:sz w:val="24"/>
                <w:lang w:val="en-US" w:eastAsia="zh-CN"/>
              </w:rPr>
              <w:t>1</w:t>
            </w:r>
            <w:r>
              <w:rPr>
                <w:rFonts w:hint="eastAsia" w:ascii="仿宋" w:hAnsi="仿宋" w:eastAsia="仿宋" w:cs="仿宋"/>
                <w:bCs/>
                <w:sz w:val="24"/>
              </w:rPr>
              <w:t>7确定评价工作等级。风险潜势为Ⅳ及以上，进行一级评价；风险潜势为Ⅲ，进行二级评价；风险潜势为Ⅱ，进行三级评价；风险潜势为Ⅰ，可开展简单分析。</w:t>
            </w:r>
          </w:p>
          <w:p w14:paraId="3C90FA34">
            <w:pPr>
              <w:spacing w:line="240" w:lineRule="auto"/>
              <w:jc w:val="center"/>
              <w:rPr>
                <w:rFonts w:hint="eastAsia" w:ascii="仿宋" w:hAnsi="仿宋" w:eastAsia="仿宋" w:cs="仿宋"/>
                <w:b/>
                <w:bCs/>
                <w:sz w:val="21"/>
                <w:szCs w:val="21"/>
              </w:rPr>
            </w:pPr>
            <w:r>
              <w:rPr>
                <w:rFonts w:hint="eastAsia" w:ascii="仿宋" w:hAnsi="仿宋" w:eastAsia="仿宋" w:cs="仿宋"/>
                <w:b/>
                <w:bCs/>
                <w:sz w:val="21"/>
                <w:szCs w:val="21"/>
              </w:rPr>
              <w:t>表4-</w:t>
            </w:r>
            <w:r>
              <w:rPr>
                <w:rFonts w:hint="eastAsia" w:ascii="仿宋" w:hAnsi="仿宋" w:eastAsia="仿宋" w:cs="仿宋"/>
                <w:b/>
                <w:bCs/>
                <w:sz w:val="21"/>
                <w:szCs w:val="21"/>
                <w:lang w:val="en-US" w:eastAsia="zh-CN"/>
              </w:rPr>
              <w:t>21</w:t>
            </w:r>
            <w:r>
              <w:rPr>
                <w:rFonts w:hint="eastAsia" w:ascii="仿宋" w:hAnsi="仿宋" w:eastAsia="仿宋" w:cs="仿宋"/>
                <w:b/>
                <w:bCs/>
                <w:sz w:val="21"/>
                <w:szCs w:val="21"/>
              </w:rPr>
              <w:t xml:space="preserve">  评价工作等级划分</w:t>
            </w:r>
          </w:p>
          <w:tbl>
            <w:tblPr>
              <w:tblStyle w:val="32"/>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648"/>
              <w:gridCol w:w="1648"/>
              <w:gridCol w:w="1648"/>
              <w:gridCol w:w="1650"/>
            </w:tblGrid>
            <w:tr w14:paraId="7DC25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99" w:type="pct"/>
                  <w:tcBorders>
                    <w:tl2br w:val="nil"/>
                    <w:tr2bl w:val="nil"/>
                  </w:tcBorders>
                  <w:noWrap w:val="0"/>
                  <w:vAlign w:val="center"/>
                </w:tcPr>
                <w:p w14:paraId="1114E829">
                  <w:pPr>
                    <w:jc w:val="center"/>
                    <w:rPr>
                      <w:rFonts w:hint="eastAsia" w:ascii="仿宋" w:hAnsi="仿宋" w:eastAsia="仿宋" w:cs="仿宋"/>
                      <w:bCs/>
                      <w:szCs w:val="21"/>
                    </w:rPr>
                  </w:pPr>
                  <w:r>
                    <w:rPr>
                      <w:rFonts w:hint="eastAsia" w:ascii="仿宋" w:hAnsi="仿宋" w:eastAsia="仿宋" w:cs="仿宋"/>
                      <w:bCs/>
                      <w:szCs w:val="21"/>
                    </w:rPr>
                    <w:t>环境风险潜势</w:t>
                  </w:r>
                </w:p>
              </w:tc>
              <w:tc>
                <w:tcPr>
                  <w:tcW w:w="1000" w:type="pct"/>
                  <w:tcBorders>
                    <w:tl2br w:val="nil"/>
                    <w:tr2bl w:val="nil"/>
                  </w:tcBorders>
                  <w:noWrap w:val="0"/>
                  <w:vAlign w:val="center"/>
                </w:tcPr>
                <w:p w14:paraId="04EB0B63">
                  <w:pPr>
                    <w:jc w:val="center"/>
                    <w:rPr>
                      <w:rFonts w:hint="eastAsia" w:ascii="仿宋" w:hAnsi="仿宋" w:eastAsia="仿宋" w:cs="仿宋"/>
                      <w:bCs/>
                      <w:szCs w:val="21"/>
                    </w:rPr>
                  </w:pPr>
                  <w:r>
                    <w:rPr>
                      <w:rFonts w:hint="eastAsia" w:ascii="仿宋" w:hAnsi="仿宋" w:eastAsia="仿宋" w:cs="仿宋"/>
                      <w:bCs/>
                      <w:szCs w:val="21"/>
                    </w:rPr>
                    <w:t>Ⅳ、Ⅳ</w:t>
                  </w:r>
                  <w:r>
                    <w:rPr>
                      <w:rFonts w:hint="eastAsia" w:ascii="仿宋" w:hAnsi="仿宋" w:eastAsia="仿宋" w:cs="仿宋"/>
                      <w:bCs/>
                      <w:szCs w:val="21"/>
                      <w:vertAlign w:val="superscript"/>
                    </w:rPr>
                    <w:t>+</w:t>
                  </w:r>
                </w:p>
              </w:tc>
              <w:tc>
                <w:tcPr>
                  <w:tcW w:w="1000" w:type="pct"/>
                  <w:tcBorders>
                    <w:tl2br w:val="nil"/>
                    <w:tr2bl w:val="nil"/>
                  </w:tcBorders>
                  <w:noWrap w:val="0"/>
                  <w:vAlign w:val="center"/>
                </w:tcPr>
                <w:p w14:paraId="60C02EA4">
                  <w:pPr>
                    <w:jc w:val="center"/>
                    <w:rPr>
                      <w:rFonts w:hint="eastAsia" w:ascii="仿宋" w:hAnsi="仿宋" w:eastAsia="仿宋" w:cs="仿宋"/>
                      <w:bCs/>
                      <w:szCs w:val="21"/>
                    </w:rPr>
                  </w:pPr>
                  <w:r>
                    <w:rPr>
                      <w:rFonts w:hint="eastAsia" w:ascii="仿宋" w:hAnsi="仿宋" w:eastAsia="仿宋" w:cs="仿宋"/>
                      <w:bCs/>
                      <w:szCs w:val="21"/>
                    </w:rPr>
                    <w:t>Ⅲ</w:t>
                  </w:r>
                </w:p>
              </w:tc>
              <w:tc>
                <w:tcPr>
                  <w:tcW w:w="1000" w:type="pct"/>
                  <w:tcBorders>
                    <w:tl2br w:val="nil"/>
                    <w:tr2bl w:val="nil"/>
                  </w:tcBorders>
                  <w:noWrap w:val="0"/>
                  <w:vAlign w:val="center"/>
                </w:tcPr>
                <w:p w14:paraId="538CD644">
                  <w:pPr>
                    <w:jc w:val="center"/>
                    <w:rPr>
                      <w:rFonts w:hint="eastAsia" w:ascii="仿宋" w:hAnsi="仿宋" w:eastAsia="仿宋" w:cs="仿宋"/>
                      <w:bCs/>
                      <w:szCs w:val="21"/>
                    </w:rPr>
                  </w:pPr>
                  <w:r>
                    <w:rPr>
                      <w:rFonts w:hint="eastAsia" w:ascii="仿宋" w:hAnsi="仿宋" w:eastAsia="仿宋" w:cs="仿宋"/>
                      <w:bCs/>
                      <w:szCs w:val="21"/>
                    </w:rPr>
                    <w:t>Ⅱ</w:t>
                  </w:r>
                </w:p>
              </w:tc>
              <w:tc>
                <w:tcPr>
                  <w:tcW w:w="1000" w:type="pct"/>
                  <w:tcBorders>
                    <w:tl2br w:val="nil"/>
                    <w:tr2bl w:val="nil"/>
                  </w:tcBorders>
                  <w:noWrap w:val="0"/>
                  <w:vAlign w:val="center"/>
                </w:tcPr>
                <w:p w14:paraId="5E09BA79">
                  <w:pPr>
                    <w:jc w:val="center"/>
                    <w:rPr>
                      <w:rFonts w:hint="eastAsia" w:ascii="仿宋" w:hAnsi="仿宋" w:eastAsia="仿宋" w:cs="仿宋"/>
                      <w:bCs/>
                      <w:szCs w:val="21"/>
                    </w:rPr>
                  </w:pPr>
                  <w:r>
                    <w:rPr>
                      <w:rFonts w:hint="eastAsia" w:ascii="仿宋" w:hAnsi="仿宋" w:eastAsia="仿宋" w:cs="仿宋"/>
                      <w:bCs/>
                      <w:szCs w:val="21"/>
                    </w:rPr>
                    <w:t>Ⅰ</w:t>
                  </w:r>
                </w:p>
              </w:tc>
            </w:tr>
            <w:tr w14:paraId="5F85A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99" w:type="pct"/>
                  <w:tcBorders>
                    <w:tl2br w:val="nil"/>
                    <w:tr2bl w:val="nil"/>
                  </w:tcBorders>
                  <w:noWrap w:val="0"/>
                  <w:vAlign w:val="center"/>
                </w:tcPr>
                <w:p w14:paraId="6E49C867">
                  <w:pPr>
                    <w:jc w:val="center"/>
                    <w:rPr>
                      <w:rFonts w:hint="eastAsia" w:ascii="仿宋" w:hAnsi="仿宋" w:eastAsia="仿宋" w:cs="仿宋"/>
                      <w:bCs/>
                      <w:szCs w:val="21"/>
                    </w:rPr>
                  </w:pPr>
                  <w:r>
                    <w:rPr>
                      <w:rFonts w:hint="eastAsia" w:ascii="仿宋" w:hAnsi="仿宋" w:eastAsia="仿宋" w:cs="仿宋"/>
                      <w:bCs/>
                      <w:szCs w:val="21"/>
                    </w:rPr>
                    <w:t>评价工作等级</w:t>
                  </w:r>
                </w:p>
              </w:tc>
              <w:tc>
                <w:tcPr>
                  <w:tcW w:w="1000" w:type="pct"/>
                  <w:tcBorders>
                    <w:tl2br w:val="nil"/>
                    <w:tr2bl w:val="nil"/>
                  </w:tcBorders>
                  <w:noWrap w:val="0"/>
                  <w:vAlign w:val="center"/>
                </w:tcPr>
                <w:p w14:paraId="3984D56D">
                  <w:pPr>
                    <w:jc w:val="center"/>
                    <w:rPr>
                      <w:rFonts w:hint="eastAsia" w:ascii="仿宋" w:hAnsi="仿宋" w:eastAsia="仿宋" w:cs="仿宋"/>
                      <w:bCs/>
                      <w:szCs w:val="21"/>
                    </w:rPr>
                  </w:pPr>
                  <w:r>
                    <w:rPr>
                      <w:rFonts w:hint="eastAsia" w:ascii="仿宋" w:hAnsi="仿宋" w:eastAsia="仿宋" w:cs="仿宋"/>
                      <w:bCs/>
                      <w:szCs w:val="21"/>
                    </w:rPr>
                    <w:t>一</w:t>
                  </w:r>
                </w:p>
              </w:tc>
              <w:tc>
                <w:tcPr>
                  <w:tcW w:w="1000" w:type="pct"/>
                  <w:tcBorders>
                    <w:tl2br w:val="nil"/>
                    <w:tr2bl w:val="nil"/>
                  </w:tcBorders>
                  <w:noWrap w:val="0"/>
                  <w:vAlign w:val="center"/>
                </w:tcPr>
                <w:p w14:paraId="5659A86E">
                  <w:pPr>
                    <w:jc w:val="center"/>
                    <w:rPr>
                      <w:rFonts w:hint="eastAsia" w:ascii="仿宋" w:hAnsi="仿宋" w:eastAsia="仿宋" w:cs="仿宋"/>
                      <w:bCs/>
                      <w:szCs w:val="21"/>
                    </w:rPr>
                  </w:pPr>
                  <w:r>
                    <w:rPr>
                      <w:rFonts w:hint="eastAsia" w:ascii="仿宋" w:hAnsi="仿宋" w:eastAsia="仿宋" w:cs="仿宋"/>
                      <w:bCs/>
                      <w:szCs w:val="21"/>
                    </w:rPr>
                    <w:t>二</w:t>
                  </w:r>
                </w:p>
              </w:tc>
              <w:tc>
                <w:tcPr>
                  <w:tcW w:w="1000" w:type="pct"/>
                  <w:tcBorders>
                    <w:tl2br w:val="nil"/>
                    <w:tr2bl w:val="nil"/>
                  </w:tcBorders>
                  <w:noWrap w:val="0"/>
                  <w:vAlign w:val="center"/>
                </w:tcPr>
                <w:p w14:paraId="24CCBAC7">
                  <w:pPr>
                    <w:jc w:val="center"/>
                    <w:rPr>
                      <w:rFonts w:hint="eastAsia" w:ascii="仿宋" w:hAnsi="仿宋" w:eastAsia="仿宋" w:cs="仿宋"/>
                      <w:bCs/>
                      <w:szCs w:val="21"/>
                    </w:rPr>
                  </w:pPr>
                  <w:r>
                    <w:rPr>
                      <w:rFonts w:hint="eastAsia" w:ascii="仿宋" w:hAnsi="仿宋" w:eastAsia="仿宋" w:cs="仿宋"/>
                      <w:bCs/>
                      <w:szCs w:val="21"/>
                    </w:rPr>
                    <w:t>三</w:t>
                  </w:r>
                </w:p>
              </w:tc>
              <w:tc>
                <w:tcPr>
                  <w:tcW w:w="1000" w:type="pct"/>
                  <w:tcBorders>
                    <w:tl2br w:val="nil"/>
                    <w:tr2bl w:val="nil"/>
                  </w:tcBorders>
                  <w:noWrap w:val="0"/>
                  <w:vAlign w:val="center"/>
                </w:tcPr>
                <w:p w14:paraId="4734C98F">
                  <w:pPr>
                    <w:jc w:val="center"/>
                    <w:rPr>
                      <w:rFonts w:hint="eastAsia" w:ascii="仿宋" w:hAnsi="仿宋" w:eastAsia="仿宋" w:cs="仿宋"/>
                      <w:bCs/>
                      <w:szCs w:val="21"/>
                    </w:rPr>
                  </w:pPr>
                  <w:r>
                    <w:rPr>
                      <w:rFonts w:hint="eastAsia" w:ascii="仿宋" w:hAnsi="仿宋" w:eastAsia="仿宋" w:cs="仿宋"/>
                      <w:bCs/>
                      <w:szCs w:val="21"/>
                    </w:rPr>
                    <w:t>简单分析</w:t>
                  </w:r>
                  <w:r>
                    <w:rPr>
                      <w:rFonts w:hint="eastAsia" w:ascii="仿宋" w:hAnsi="仿宋" w:eastAsia="仿宋" w:cs="仿宋"/>
                      <w:bCs/>
                      <w:szCs w:val="21"/>
                      <w:vertAlign w:val="superscript"/>
                    </w:rPr>
                    <w:t>a</w:t>
                  </w:r>
                </w:p>
              </w:tc>
            </w:tr>
            <w:tr w14:paraId="66C3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000" w:type="pct"/>
                  <w:gridSpan w:val="5"/>
                  <w:tcBorders>
                    <w:tl2br w:val="nil"/>
                    <w:tr2bl w:val="nil"/>
                  </w:tcBorders>
                  <w:noWrap w:val="0"/>
                  <w:vAlign w:val="center"/>
                </w:tcPr>
                <w:p w14:paraId="31357DEF">
                  <w:pPr>
                    <w:jc w:val="center"/>
                    <w:rPr>
                      <w:rFonts w:hint="eastAsia" w:ascii="仿宋" w:hAnsi="仿宋" w:eastAsia="仿宋" w:cs="仿宋"/>
                      <w:bCs/>
                      <w:szCs w:val="21"/>
                    </w:rPr>
                  </w:pPr>
                  <w:r>
                    <w:rPr>
                      <w:rFonts w:hint="eastAsia" w:ascii="仿宋" w:hAnsi="仿宋" w:eastAsia="仿宋" w:cs="仿宋"/>
                      <w:bCs/>
                      <w:szCs w:val="21"/>
                    </w:rPr>
                    <w:t>a 是相对于详细评价工作内容而言，在描述危险物质、环境影响途径、环境危害后果、风险防范措施等方面给出定性的说明。详见 HJ169-2018 的附录 A。</w:t>
                  </w:r>
                </w:p>
              </w:tc>
            </w:tr>
          </w:tbl>
          <w:p w14:paraId="40DF39CD">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14:paraId="50D60ADD">
            <w:pPr>
              <w:spacing w:line="360" w:lineRule="auto"/>
              <w:jc w:val="center"/>
              <w:rPr>
                <w:rFonts w:hint="eastAsia" w:ascii="仿宋" w:hAnsi="仿宋" w:eastAsia="仿宋" w:cs="仿宋"/>
                <w:bCs/>
                <w:sz w:val="24"/>
              </w:rPr>
            </w:pPr>
            <w:r>
              <w:rPr>
                <w:rFonts w:hint="eastAsia" w:ascii="仿宋" w:hAnsi="仿宋" w:eastAsia="仿宋" w:cs="仿宋"/>
                <w:bCs/>
                <w:sz w:val="24"/>
              </w:rPr>
              <w:drawing>
                <wp:inline distT="0" distB="0" distL="114300" distR="114300">
                  <wp:extent cx="2400300" cy="685800"/>
                  <wp:effectExtent l="0" t="0" r="0" b="0"/>
                  <wp:docPr id="9" name="图片 11" descr="_}0RZ(T`BKC%OO2EVTO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_}0RZ(T`BKC%OO2EVTOP5$A"/>
                          <pic:cNvPicPr>
                            <a:picLocks noChangeAspect="1"/>
                          </pic:cNvPicPr>
                        </pic:nvPicPr>
                        <pic:blipFill>
                          <a:blip r:embed="rId18"/>
                          <a:stretch>
                            <a:fillRect/>
                          </a:stretch>
                        </pic:blipFill>
                        <pic:spPr>
                          <a:xfrm>
                            <a:off x="0" y="0"/>
                            <a:ext cx="2400300" cy="685800"/>
                          </a:xfrm>
                          <a:prstGeom prst="rect">
                            <a:avLst/>
                          </a:prstGeom>
                          <a:noFill/>
                          <a:ln>
                            <a:noFill/>
                          </a:ln>
                        </pic:spPr>
                      </pic:pic>
                    </a:graphicData>
                  </a:graphic>
                </wp:inline>
              </w:drawing>
            </w:r>
          </w:p>
          <w:p w14:paraId="30E7E99E">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式中：q1</w:t>
            </w:r>
            <w:r>
              <w:rPr>
                <w:rFonts w:hint="eastAsia" w:ascii="仿宋" w:hAnsi="仿宋" w:eastAsia="仿宋" w:cs="仿宋"/>
                <w:bCs/>
                <w:sz w:val="24"/>
                <w:lang w:eastAsia="zh-CN"/>
              </w:rPr>
              <w:t>，</w:t>
            </w:r>
            <w:r>
              <w:rPr>
                <w:rFonts w:hint="eastAsia" w:ascii="仿宋" w:hAnsi="仿宋" w:eastAsia="仿宋" w:cs="仿宋"/>
                <w:bCs/>
                <w:sz w:val="24"/>
              </w:rPr>
              <w:t>q2.......qn——每种危险化学品实际存在量，t；</w:t>
            </w:r>
          </w:p>
          <w:p w14:paraId="15E76F52">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Q1，Q2</w:t>
            </w:r>
            <w:r>
              <w:rPr>
                <w:rFonts w:hint="eastAsia" w:ascii="仿宋" w:hAnsi="仿宋" w:eastAsia="仿宋" w:cs="仿宋"/>
                <w:bCs/>
                <w:sz w:val="24"/>
                <w:lang w:eastAsia="zh-CN"/>
              </w:rPr>
              <w:t>，</w:t>
            </w:r>
            <w:r>
              <w:rPr>
                <w:rFonts w:hint="eastAsia" w:ascii="仿宋" w:hAnsi="仿宋" w:eastAsia="仿宋" w:cs="仿宋"/>
                <w:bCs/>
                <w:sz w:val="24"/>
              </w:rPr>
              <w:t>.......Qn——与个危险化学品的临界量，t。</w:t>
            </w:r>
          </w:p>
          <w:p w14:paraId="03CBF5C7">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当Q＜1时，该项目风险潜势为Ⅰ；</w:t>
            </w:r>
          </w:p>
          <w:p w14:paraId="553AEAFE">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当Q≥1时，将Q值划分为：（1）1≤Q＜10；（2）10≤Q＜100；（3）Q≥100。</w:t>
            </w:r>
          </w:p>
          <w:p w14:paraId="1EACA011">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根据《危险化学品重大危险源辨识》（GB18218-2018）和《建设项目环境风险评价技术导则》（HJ 169-2018）进行风险调查可知，本项目涉及的危险物质为</w:t>
            </w:r>
            <w:r>
              <w:rPr>
                <w:rFonts w:hint="eastAsia" w:ascii="仿宋" w:hAnsi="仿宋" w:eastAsia="仿宋" w:cs="仿宋"/>
                <w:bCs/>
                <w:sz w:val="24"/>
                <w:lang w:eastAsia="zh-CN"/>
              </w:rPr>
              <w:t>机油、废机油等</w:t>
            </w:r>
          </w:p>
          <w:p w14:paraId="4E49FF0F">
            <w:pPr>
              <w:keepNext w:val="0"/>
              <w:keepLines w:val="0"/>
              <w:pageBreakBefore w:val="0"/>
              <w:widowControl/>
              <w:kinsoku/>
              <w:wordWrap/>
              <w:overflowPunct/>
              <w:topLinePunct w:val="0"/>
              <w:autoSpaceDE/>
              <w:autoSpaceDN/>
              <w:bidi w:val="0"/>
              <w:adjustRightInd w:val="0"/>
              <w:snapToGrid w:val="0"/>
              <w:spacing w:line="240" w:lineRule="auto"/>
              <w:ind w:firstLine="620" w:firstLineChars="294"/>
              <w:jc w:val="center"/>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bCs/>
                <w:snapToGrid w:val="0"/>
                <w:color w:val="auto"/>
                <w:spacing w:val="0"/>
                <w:w w:val="100"/>
                <w:kern w:val="0"/>
                <w:sz w:val="21"/>
                <w:szCs w:val="21"/>
                <w:lang w:val="en-US" w:eastAsia="zh-CN" w:bidi="ar-SA"/>
              </w:rPr>
              <w:t>表</w:t>
            </w:r>
            <w:r>
              <w:rPr>
                <w:rFonts w:hint="eastAsia" w:ascii="仿宋" w:hAnsi="仿宋" w:eastAsia="仿宋" w:cs="仿宋"/>
                <w:b/>
                <w:bCs/>
                <w:snapToGrid/>
                <w:color w:val="auto"/>
                <w:spacing w:val="0"/>
                <w:w w:val="100"/>
                <w:sz w:val="21"/>
                <w:szCs w:val="21"/>
                <w:lang w:val="en-US" w:eastAsia="zh-CN" w:bidi="ar-SA"/>
              </w:rPr>
              <w:t>4-22</w:t>
            </w:r>
            <w:r>
              <w:rPr>
                <w:rFonts w:hint="eastAsia" w:ascii="仿宋" w:hAnsi="仿宋" w:eastAsia="仿宋" w:cs="仿宋"/>
                <w:b/>
                <w:bCs/>
                <w:snapToGrid w:val="0"/>
                <w:color w:val="auto"/>
                <w:spacing w:val="0"/>
                <w:w w:val="100"/>
                <w:kern w:val="0"/>
                <w:sz w:val="21"/>
                <w:szCs w:val="21"/>
                <w:lang w:val="en-US" w:eastAsia="zh-CN" w:bidi="ar-SA"/>
              </w:rPr>
              <w:t xml:space="preserve"> 项目Q值确定表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632"/>
              <w:gridCol w:w="2261"/>
              <w:gridCol w:w="1759"/>
              <w:gridCol w:w="1649"/>
            </w:tblGrid>
            <w:tr w14:paraId="38D53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tcBorders>
                    <w:tl2br w:val="nil"/>
                    <w:tr2bl w:val="nil"/>
                  </w:tcBorders>
                  <w:noWrap w:val="0"/>
                  <w:vAlign w:val="center"/>
                </w:tcPr>
                <w:p w14:paraId="40E1A706">
                  <w:pPr>
                    <w:spacing w:line="320" w:lineRule="exact"/>
                    <w:jc w:val="center"/>
                    <w:rPr>
                      <w:rFonts w:hint="eastAsia" w:ascii="仿宋" w:hAnsi="仿宋" w:eastAsia="仿宋" w:cs="仿宋"/>
                      <w:snapToGrid w:val="0"/>
                      <w:color w:val="auto"/>
                      <w:kern w:val="2"/>
                      <w:sz w:val="21"/>
                      <w:szCs w:val="21"/>
                    </w:rPr>
                  </w:pPr>
                  <w:r>
                    <w:rPr>
                      <w:rFonts w:hint="eastAsia" w:ascii="仿宋" w:hAnsi="仿宋" w:eastAsia="仿宋" w:cs="仿宋"/>
                      <w:snapToGrid w:val="0"/>
                      <w:color w:val="auto"/>
                      <w:kern w:val="2"/>
                      <w:sz w:val="21"/>
                      <w:szCs w:val="21"/>
                    </w:rPr>
                    <w:t>序号</w:t>
                  </w:r>
                </w:p>
              </w:tc>
              <w:tc>
                <w:tcPr>
                  <w:tcW w:w="990" w:type="pct"/>
                  <w:tcBorders>
                    <w:tl2br w:val="nil"/>
                    <w:tr2bl w:val="nil"/>
                  </w:tcBorders>
                  <w:noWrap w:val="0"/>
                  <w:vAlign w:val="center"/>
                </w:tcPr>
                <w:p w14:paraId="209A29A2">
                  <w:pPr>
                    <w:spacing w:line="320" w:lineRule="exact"/>
                    <w:jc w:val="center"/>
                    <w:rPr>
                      <w:rFonts w:hint="eastAsia" w:ascii="仿宋" w:hAnsi="仿宋" w:eastAsia="仿宋" w:cs="仿宋"/>
                      <w:snapToGrid w:val="0"/>
                      <w:color w:val="auto"/>
                      <w:kern w:val="2"/>
                      <w:sz w:val="21"/>
                      <w:szCs w:val="21"/>
                    </w:rPr>
                  </w:pPr>
                  <w:r>
                    <w:rPr>
                      <w:rFonts w:hint="eastAsia" w:ascii="仿宋" w:hAnsi="仿宋" w:eastAsia="仿宋" w:cs="仿宋"/>
                      <w:snapToGrid w:val="0"/>
                      <w:color w:val="auto"/>
                      <w:kern w:val="2"/>
                      <w:sz w:val="21"/>
                      <w:szCs w:val="21"/>
                    </w:rPr>
                    <w:t>名称</w:t>
                  </w:r>
                </w:p>
              </w:tc>
              <w:tc>
                <w:tcPr>
                  <w:tcW w:w="1371" w:type="pct"/>
                  <w:tcBorders>
                    <w:tl2br w:val="nil"/>
                    <w:tr2bl w:val="nil"/>
                  </w:tcBorders>
                  <w:noWrap w:val="0"/>
                  <w:vAlign w:val="center"/>
                </w:tcPr>
                <w:p w14:paraId="53E4F2AF">
                  <w:pPr>
                    <w:spacing w:line="320" w:lineRule="exact"/>
                    <w:jc w:val="center"/>
                    <w:rPr>
                      <w:rFonts w:hint="eastAsia" w:ascii="仿宋" w:hAnsi="仿宋" w:eastAsia="仿宋" w:cs="仿宋"/>
                      <w:snapToGrid w:val="0"/>
                      <w:color w:val="auto"/>
                      <w:kern w:val="2"/>
                      <w:sz w:val="21"/>
                      <w:szCs w:val="21"/>
                    </w:rPr>
                  </w:pPr>
                  <w:r>
                    <w:rPr>
                      <w:rFonts w:hint="eastAsia" w:ascii="仿宋" w:hAnsi="仿宋" w:eastAsia="仿宋" w:cs="仿宋"/>
                      <w:snapToGrid w:val="0"/>
                      <w:color w:val="auto"/>
                      <w:kern w:val="2"/>
                      <w:sz w:val="21"/>
                      <w:szCs w:val="21"/>
                    </w:rPr>
                    <w:t>qi最大</w:t>
                  </w:r>
                  <w:r>
                    <w:rPr>
                      <w:rFonts w:hint="eastAsia" w:ascii="仿宋" w:hAnsi="仿宋" w:eastAsia="仿宋" w:cs="仿宋"/>
                      <w:snapToGrid w:val="0"/>
                      <w:color w:val="auto"/>
                      <w:kern w:val="2"/>
                      <w:sz w:val="21"/>
                      <w:szCs w:val="21"/>
                      <w:lang w:eastAsia="zh-CN"/>
                    </w:rPr>
                    <w:t>存在量</w:t>
                  </w:r>
                  <w:r>
                    <w:rPr>
                      <w:rFonts w:hint="eastAsia" w:ascii="仿宋" w:hAnsi="仿宋" w:eastAsia="仿宋" w:cs="仿宋"/>
                      <w:snapToGrid w:val="0"/>
                      <w:color w:val="auto"/>
                      <w:kern w:val="2"/>
                      <w:sz w:val="21"/>
                      <w:szCs w:val="21"/>
                    </w:rPr>
                    <w:t>（t）</w:t>
                  </w:r>
                </w:p>
              </w:tc>
              <w:tc>
                <w:tcPr>
                  <w:tcW w:w="1066" w:type="pct"/>
                  <w:tcBorders>
                    <w:tl2br w:val="nil"/>
                    <w:tr2bl w:val="nil"/>
                  </w:tcBorders>
                  <w:noWrap w:val="0"/>
                  <w:vAlign w:val="center"/>
                </w:tcPr>
                <w:p w14:paraId="3AC6780F">
                  <w:pPr>
                    <w:spacing w:line="320" w:lineRule="exact"/>
                    <w:jc w:val="center"/>
                    <w:rPr>
                      <w:rFonts w:hint="eastAsia" w:ascii="仿宋" w:hAnsi="仿宋" w:eastAsia="仿宋" w:cs="仿宋"/>
                      <w:snapToGrid w:val="0"/>
                      <w:color w:val="auto"/>
                      <w:kern w:val="2"/>
                      <w:sz w:val="21"/>
                      <w:szCs w:val="21"/>
                    </w:rPr>
                  </w:pPr>
                  <w:r>
                    <w:rPr>
                      <w:rFonts w:hint="eastAsia" w:ascii="仿宋" w:hAnsi="仿宋" w:eastAsia="仿宋" w:cs="仿宋"/>
                      <w:snapToGrid w:val="0"/>
                      <w:color w:val="auto"/>
                      <w:kern w:val="2"/>
                      <w:sz w:val="21"/>
                      <w:szCs w:val="21"/>
                    </w:rPr>
                    <w:t>Qi临界量（t）</w:t>
                  </w:r>
                </w:p>
              </w:tc>
              <w:tc>
                <w:tcPr>
                  <w:tcW w:w="1000" w:type="pct"/>
                  <w:tcBorders>
                    <w:tl2br w:val="nil"/>
                    <w:tr2bl w:val="nil"/>
                  </w:tcBorders>
                  <w:noWrap w:val="0"/>
                  <w:vAlign w:val="center"/>
                </w:tcPr>
                <w:p w14:paraId="3C6C4DC1">
                  <w:pPr>
                    <w:spacing w:line="320" w:lineRule="exact"/>
                    <w:jc w:val="center"/>
                    <w:rPr>
                      <w:rFonts w:hint="eastAsia" w:ascii="仿宋" w:hAnsi="仿宋" w:eastAsia="仿宋" w:cs="仿宋"/>
                      <w:snapToGrid w:val="0"/>
                      <w:color w:val="auto"/>
                      <w:kern w:val="2"/>
                      <w:sz w:val="21"/>
                      <w:szCs w:val="21"/>
                    </w:rPr>
                  </w:pPr>
                  <w:r>
                    <w:rPr>
                      <w:rFonts w:hint="eastAsia" w:ascii="仿宋" w:hAnsi="仿宋" w:eastAsia="仿宋" w:cs="仿宋"/>
                      <w:snapToGrid w:val="0"/>
                      <w:color w:val="auto"/>
                      <w:kern w:val="2"/>
                      <w:sz w:val="21"/>
                      <w:szCs w:val="21"/>
                    </w:rPr>
                    <w:t>qi/Qi</w:t>
                  </w:r>
                </w:p>
              </w:tc>
            </w:tr>
            <w:tr w14:paraId="6005C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tcBorders>
                    <w:tl2br w:val="nil"/>
                    <w:tr2bl w:val="nil"/>
                  </w:tcBorders>
                  <w:noWrap w:val="0"/>
                  <w:vAlign w:val="center"/>
                </w:tcPr>
                <w:p w14:paraId="73C5891E">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1</w:t>
                  </w:r>
                </w:p>
              </w:tc>
              <w:tc>
                <w:tcPr>
                  <w:tcW w:w="990" w:type="pct"/>
                  <w:tcBorders>
                    <w:tl2br w:val="nil"/>
                    <w:tr2bl w:val="nil"/>
                  </w:tcBorders>
                  <w:noWrap w:val="0"/>
                  <w:vAlign w:val="center"/>
                </w:tcPr>
                <w:p w14:paraId="334AB449">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机油</w:t>
                  </w:r>
                </w:p>
              </w:tc>
              <w:tc>
                <w:tcPr>
                  <w:tcW w:w="1371" w:type="pct"/>
                  <w:tcBorders>
                    <w:tl2br w:val="nil"/>
                    <w:tr2bl w:val="nil"/>
                  </w:tcBorders>
                  <w:noWrap w:val="0"/>
                  <w:vAlign w:val="center"/>
                </w:tcPr>
                <w:p w14:paraId="1ED3B07A">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0.2</w:t>
                  </w:r>
                </w:p>
              </w:tc>
              <w:tc>
                <w:tcPr>
                  <w:tcW w:w="1066" w:type="pct"/>
                  <w:tcBorders>
                    <w:tl2br w:val="nil"/>
                    <w:tr2bl w:val="nil"/>
                  </w:tcBorders>
                  <w:noWrap w:val="0"/>
                  <w:vAlign w:val="center"/>
                </w:tcPr>
                <w:p w14:paraId="46F0174B">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2500</w:t>
                  </w:r>
                </w:p>
              </w:tc>
              <w:tc>
                <w:tcPr>
                  <w:tcW w:w="1000" w:type="pct"/>
                  <w:tcBorders>
                    <w:tl2br w:val="nil"/>
                    <w:tr2bl w:val="nil"/>
                  </w:tcBorders>
                  <w:noWrap w:val="0"/>
                  <w:vAlign w:val="center"/>
                </w:tcPr>
                <w:p w14:paraId="4464C305">
                  <w:pPr>
                    <w:keepNext w:val="0"/>
                    <w:keepLines w:val="0"/>
                    <w:widowControl/>
                    <w:suppressLineNumbers w:val="0"/>
                    <w:jc w:val="center"/>
                    <w:textAlignment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i w:val="0"/>
                      <w:iCs w:val="0"/>
                      <w:color w:val="000000"/>
                      <w:kern w:val="0"/>
                      <w:sz w:val="21"/>
                      <w:szCs w:val="21"/>
                      <w:u w:val="none"/>
                      <w:lang w:val="en-US" w:eastAsia="zh-CN" w:bidi="ar"/>
                    </w:rPr>
                    <w:t>0.00008</w:t>
                  </w:r>
                </w:p>
              </w:tc>
            </w:tr>
            <w:tr w14:paraId="643AD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tcBorders>
                    <w:tl2br w:val="nil"/>
                    <w:tr2bl w:val="nil"/>
                  </w:tcBorders>
                  <w:noWrap w:val="0"/>
                  <w:vAlign w:val="center"/>
                </w:tcPr>
                <w:p w14:paraId="4421E2FB">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2</w:t>
                  </w:r>
                </w:p>
              </w:tc>
              <w:tc>
                <w:tcPr>
                  <w:tcW w:w="990" w:type="pct"/>
                  <w:tcBorders>
                    <w:tl2br w:val="nil"/>
                    <w:tr2bl w:val="nil"/>
                  </w:tcBorders>
                  <w:noWrap w:val="0"/>
                  <w:vAlign w:val="center"/>
                </w:tcPr>
                <w:p w14:paraId="6431F8A6">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废机油</w:t>
                  </w:r>
                </w:p>
              </w:tc>
              <w:tc>
                <w:tcPr>
                  <w:tcW w:w="1371" w:type="pct"/>
                  <w:tcBorders>
                    <w:tl2br w:val="nil"/>
                    <w:tr2bl w:val="nil"/>
                  </w:tcBorders>
                  <w:noWrap w:val="0"/>
                  <w:vAlign w:val="center"/>
                </w:tcPr>
                <w:p w14:paraId="3F5F094D">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0.1</w:t>
                  </w:r>
                </w:p>
              </w:tc>
              <w:tc>
                <w:tcPr>
                  <w:tcW w:w="1066" w:type="pct"/>
                  <w:tcBorders>
                    <w:tl2br w:val="nil"/>
                    <w:tr2bl w:val="nil"/>
                  </w:tcBorders>
                  <w:noWrap w:val="0"/>
                  <w:vAlign w:val="center"/>
                </w:tcPr>
                <w:p w14:paraId="5019E978">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2500</w:t>
                  </w:r>
                </w:p>
              </w:tc>
              <w:tc>
                <w:tcPr>
                  <w:tcW w:w="1000" w:type="pct"/>
                  <w:tcBorders>
                    <w:tl2br w:val="nil"/>
                    <w:tr2bl w:val="nil"/>
                  </w:tcBorders>
                  <w:noWrap w:val="0"/>
                  <w:vAlign w:val="center"/>
                </w:tcPr>
                <w:p w14:paraId="244338F0">
                  <w:pPr>
                    <w:keepNext w:val="0"/>
                    <w:keepLines w:val="0"/>
                    <w:widowControl/>
                    <w:suppressLineNumbers w:val="0"/>
                    <w:jc w:val="center"/>
                    <w:textAlignment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i w:val="0"/>
                      <w:iCs w:val="0"/>
                      <w:color w:val="000000"/>
                      <w:kern w:val="0"/>
                      <w:sz w:val="21"/>
                      <w:szCs w:val="21"/>
                      <w:u w:val="none"/>
                      <w:lang w:val="en-US" w:eastAsia="zh-CN" w:bidi="ar"/>
                    </w:rPr>
                    <w:t>0.00004</w:t>
                  </w:r>
                </w:p>
              </w:tc>
            </w:tr>
            <w:tr w14:paraId="1AECD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99" w:type="pct"/>
                  <w:gridSpan w:val="4"/>
                  <w:tcBorders>
                    <w:tl2br w:val="nil"/>
                    <w:tr2bl w:val="nil"/>
                  </w:tcBorders>
                  <w:noWrap w:val="0"/>
                  <w:vAlign w:val="center"/>
                </w:tcPr>
                <w:p w14:paraId="2D8CDD7C">
                  <w:pPr>
                    <w:spacing w:line="320" w:lineRule="exact"/>
                    <w:jc w:val="center"/>
                    <w:rPr>
                      <w:rFonts w:hint="eastAsia"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合计</w:t>
                  </w:r>
                </w:p>
              </w:tc>
              <w:tc>
                <w:tcPr>
                  <w:tcW w:w="1000" w:type="pct"/>
                  <w:tcBorders>
                    <w:tl2br w:val="nil"/>
                    <w:tr2bl w:val="nil"/>
                  </w:tcBorders>
                  <w:noWrap w:val="0"/>
                  <w:vAlign w:val="center"/>
                </w:tcPr>
                <w:p w14:paraId="0166CC12">
                  <w:pPr>
                    <w:keepNext w:val="0"/>
                    <w:keepLines w:val="0"/>
                    <w:widowControl/>
                    <w:suppressLineNumbers w:val="0"/>
                    <w:jc w:val="center"/>
                    <w:textAlignment w:val="center"/>
                    <w:rPr>
                      <w:rFonts w:hint="default" w:ascii="仿宋" w:hAnsi="仿宋" w:eastAsia="仿宋" w:cs="仿宋"/>
                      <w:snapToGrid w:val="0"/>
                      <w:color w:val="auto"/>
                      <w:kern w:val="2"/>
                      <w:sz w:val="21"/>
                      <w:szCs w:val="21"/>
                      <w:lang w:val="en-US" w:eastAsia="zh-CN"/>
                    </w:rPr>
                  </w:pPr>
                  <w:r>
                    <w:rPr>
                      <w:rFonts w:hint="eastAsia" w:ascii="仿宋" w:hAnsi="仿宋" w:eastAsia="仿宋" w:cs="仿宋"/>
                      <w:snapToGrid w:val="0"/>
                      <w:color w:val="auto"/>
                      <w:kern w:val="2"/>
                      <w:sz w:val="21"/>
                      <w:szCs w:val="21"/>
                      <w:lang w:val="en-US" w:eastAsia="zh-CN"/>
                    </w:rPr>
                    <w:t>0.00012</w:t>
                  </w:r>
                </w:p>
              </w:tc>
            </w:tr>
          </w:tbl>
          <w:p w14:paraId="3E78561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根据上表，本项目危险物质数量与临界量比值Q=0.00012＜1，风险潜势为Ⅰ。本报告对环境风险进行简单分析。 </w:t>
            </w:r>
          </w:p>
          <w:p w14:paraId="254B23EA">
            <w:pPr>
              <w:pStyle w:val="136"/>
              <w:keepNext w:val="0"/>
              <w:keepLines w:val="0"/>
              <w:pageBreakBefore w:val="0"/>
              <w:widowControl/>
              <w:kinsoku w:val="0"/>
              <w:wordWrap/>
              <w:overflowPunct/>
              <w:topLinePunct w:val="0"/>
              <w:autoSpaceDE w:val="0"/>
              <w:autoSpaceDN w:val="0"/>
              <w:bidi w:val="0"/>
              <w:adjustRightInd w:val="0"/>
              <w:snapToGrid w:val="0"/>
              <w:spacing w:line="360" w:lineRule="auto"/>
              <w:ind w:firstLine="470" w:firstLineChars="200"/>
              <w:jc w:val="both"/>
              <w:textAlignment w:val="baseline"/>
              <w:rPr>
                <w:rFonts w:hint="eastAsia" w:ascii="仿宋" w:hAnsi="仿宋" w:eastAsia="仿宋" w:cs="仿宋"/>
                <w:sz w:val="24"/>
                <w:szCs w:val="24"/>
              </w:rPr>
            </w:pPr>
            <w:r>
              <w:rPr>
                <w:rFonts w:hint="eastAsia" w:ascii="仿宋" w:hAnsi="仿宋" w:eastAsia="仿宋" w:cs="仿宋"/>
                <w:b/>
                <w:bCs/>
                <w:spacing w:val="-3"/>
                <w:sz w:val="24"/>
                <w:szCs w:val="24"/>
              </w:rPr>
              <w:t>（2）可能的影响途径分析</w:t>
            </w:r>
          </w:p>
          <w:p w14:paraId="3B611CAD">
            <w:pPr>
              <w:pStyle w:val="28"/>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68" w:firstLineChars="200"/>
              <w:jc w:val="both"/>
              <w:textAlignment w:val="auto"/>
              <w:outlineLvl w:val="0"/>
              <w:rPr>
                <w:rFonts w:hint="eastAsia" w:ascii="仿宋" w:hAnsi="仿宋" w:eastAsia="仿宋" w:cs="仿宋"/>
                <w:spacing w:val="-1"/>
                <w:sz w:val="24"/>
                <w:szCs w:val="24"/>
              </w:rPr>
            </w:pPr>
            <w:r>
              <w:rPr>
                <w:rFonts w:hint="eastAsia" w:ascii="仿宋" w:hAnsi="仿宋" w:eastAsia="仿宋" w:cs="仿宋"/>
                <w:spacing w:val="-3"/>
                <w:sz w:val="24"/>
                <w:szCs w:val="24"/>
              </w:rPr>
              <w:t>项目运营过程中环境风险事故的可能影响途径包括气体扩散、垂直入渗、地表漫流等对大</w:t>
            </w:r>
            <w:r>
              <w:rPr>
                <w:rFonts w:hint="eastAsia" w:ascii="仿宋" w:hAnsi="仿宋" w:eastAsia="仿宋" w:cs="仿宋"/>
                <w:spacing w:val="-2"/>
                <w:sz w:val="24"/>
                <w:szCs w:val="24"/>
              </w:rPr>
              <w:t>气、地下水和土壤造成污染，经雨水管网进入地表水造成污</w:t>
            </w:r>
            <w:r>
              <w:rPr>
                <w:rFonts w:hint="eastAsia" w:ascii="仿宋" w:hAnsi="仿宋" w:eastAsia="仿宋" w:cs="仿宋"/>
                <w:spacing w:val="-3"/>
                <w:sz w:val="24"/>
                <w:szCs w:val="24"/>
              </w:rPr>
              <w:t>染等；另外，还需注意秸秆暂存间</w:t>
            </w:r>
            <w:r>
              <w:rPr>
                <w:rFonts w:hint="eastAsia" w:ascii="仿宋" w:hAnsi="仿宋" w:eastAsia="仿宋" w:cs="仿宋"/>
                <w:spacing w:val="-1"/>
                <w:sz w:val="24"/>
                <w:szCs w:val="24"/>
              </w:rPr>
              <w:t>发生火灾后引发的二次污染。具体详见表4-2</w:t>
            </w:r>
            <w:r>
              <w:rPr>
                <w:rFonts w:hint="eastAsia" w:ascii="仿宋" w:hAnsi="仿宋" w:eastAsia="仿宋" w:cs="仿宋"/>
                <w:spacing w:val="-1"/>
                <w:sz w:val="24"/>
                <w:szCs w:val="24"/>
                <w:lang w:val="en-US" w:eastAsia="zh-CN"/>
              </w:rPr>
              <w:t>3</w:t>
            </w:r>
            <w:r>
              <w:rPr>
                <w:rFonts w:hint="eastAsia" w:ascii="仿宋" w:hAnsi="仿宋" w:eastAsia="仿宋" w:cs="仿宋"/>
                <w:spacing w:val="-1"/>
                <w:sz w:val="24"/>
                <w:szCs w:val="24"/>
              </w:rPr>
              <w:t>。</w:t>
            </w:r>
          </w:p>
          <w:p w14:paraId="5AEEE79A">
            <w:pPr>
              <w:pStyle w:val="28"/>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仿宋" w:hAnsi="仿宋" w:eastAsia="仿宋" w:cs="仿宋"/>
                <w:b/>
                <w:bCs/>
                <w:spacing w:val="-1"/>
                <w:sz w:val="24"/>
                <w:szCs w:val="24"/>
              </w:rPr>
            </w:pPr>
            <w:r>
              <w:rPr>
                <w:rFonts w:hint="eastAsia" w:ascii="仿宋" w:hAnsi="仿宋" w:eastAsia="仿宋" w:cs="仿宋"/>
                <w:b/>
                <w:bCs/>
                <w:spacing w:val="-1"/>
                <w:sz w:val="24"/>
                <w:szCs w:val="24"/>
              </w:rPr>
              <w:t>表4-2</w:t>
            </w:r>
            <w:r>
              <w:rPr>
                <w:rFonts w:hint="eastAsia" w:ascii="仿宋" w:hAnsi="仿宋" w:eastAsia="仿宋" w:cs="仿宋"/>
                <w:b/>
                <w:bCs/>
                <w:spacing w:val="-1"/>
                <w:sz w:val="24"/>
                <w:szCs w:val="24"/>
                <w:lang w:val="en-US" w:eastAsia="zh-CN"/>
              </w:rPr>
              <w:t>3</w:t>
            </w:r>
            <w:r>
              <w:rPr>
                <w:rFonts w:hint="eastAsia" w:ascii="仿宋" w:hAnsi="仿宋" w:eastAsia="仿宋" w:cs="仿宋"/>
                <w:b/>
                <w:bCs/>
                <w:spacing w:val="-1"/>
                <w:sz w:val="24"/>
                <w:szCs w:val="24"/>
              </w:rPr>
              <w:t xml:space="preserve">  建设项目环境风险识别汇总表</w:t>
            </w:r>
          </w:p>
          <w:tbl>
            <w:tblPr>
              <w:tblStyle w:val="95"/>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76"/>
              <w:gridCol w:w="1108"/>
              <w:gridCol w:w="1073"/>
              <w:gridCol w:w="1098"/>
              <w:gridCol w:w="2035"/>
              <w:gridCol w:w="1113"/>
              <w:gridCol w:w="1334"/>
            </w:tblGrid>
            <w:tr w14:paraId="761F51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89" w:type="pct"/>
                  <w:tcBorders>
                    <w:tl2br w:val="nil"/>
                    <w:tr2bl w:val="nil"/>
                  </w:tcBorders>
                  <w:vAlign w:val="center"/>
                </w:tcPr>
                <w:p w14:paraId="2D283251">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3"/>
                      <w:sz w:val="18"/>
                      <w:szCs w:val="18"/>
                    </w:rPr>
                    <w:t>序号</w:t>
                  </w:r>
                </w:p>
              </w:tc>
              <w:tc>
                <w:tcPr>
                  <w:tcW w:w="672" w:type="pct"/>
                  <w:tcBorders>
                    <w:tl2br w:val="nil"/>
                    <w:tr2bl w:val="nil"/>
                  </w:tcBorders>
                  <w:vAlign w:val="center"/>
                </w:tcPr>
                <w:p w14:paraId="50DA9F66">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2"/>
                      <w:sz w:val="18"/>
                      <w:szCs w:val="18"/>
                    </w:rPr>
                    <w:t>危险单元</w:t>
                  </w:r>
                </w:p>
              </w:tc>
              <w:tc>
                <w:tcPr>
                  <w:tcW w:w="651" w:type="pct"/>
                  <w:tcBorders>
                    <w:tl2br w:val="nil"/>
                    <w:tr2bl w:val="nil"/>
                  </w:tcBorders>
                  <w:vAlign w:val="center"/>
                </w:tcPr>
                <w:p w14:paraId="7D1D5FF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3"/>
                      <w:sz w:val="18"/>
                      <w:szCs w:val="18"/>
                    </w:rPr>
                    <w:t>风险源</w:t>
                  </w:r>
                </w:p>
              </w:tc>
              <w:tc>
                <w:tcPr>
                  <w:tcW w:w="666" w:type="pct"/>
                  <w:tcBorders>
                    <w:tl2br w:val="nil"/>
                    <w:tr2bl w:val="nil"/>
                  </w:tcBorders>
                  <w:vAlign w:val="center"/>
                </w:tcPr>
                <w:p w14:paraId="251D7CD5">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2"/>
                      <w:sz w:val="18"/>
                      <w:szCs w:val="18"/>
                    </w:rPr>
                    <w:t>主要危险物质</w:t>
                  </w:r>
                </w:p>
              </w:tc>
              <w:tc>
                <w:tcPr>
                  <w:tcW w:w="1234" w:type="pct"/>
                  <w:tcBorders>
                    <w:tl2br w:val="nil"/>
                    <w:tr2bl w:val="nil"/>
                  </w:tcBorders>
                  <w:vAlign w:val="center"/>
                </w:tcPr>
                <w:p w14:paraId="6BEB906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2"/>
                      <w:sz w:val="18"/>
                      <w:szCs w:val="18"/>
                    </w:rPr>
                    <w:t>环境风险类型</w:t>
                  </w:r>
                </w:p>
              </w:tc>
              <w:tc>
                <w:tcPr>
                  <w:tcW w:w="675" w:type="pct"/>
                  <w:tcBorders>
                    <w:tl2br w:val="nil"/>
                    <w:tr2bl w:val="nil"/>
                  </w:tcBorders>
                  <w:vAlign w:val="center"/>
                </w:tcPr>
                <w:p w14:paraId="464CF62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2"/>
                      <w:sz w:val="18"/>
                      <w:szCs w:val="18"/>
                    </w:rPr>
                    <w:t>环境影响途径</w:t>
                  </w:r>
                </w:p>
              </w:tc>
              <w:tc>
                <w:tcPr>
                  <w:tcW w:w="809" w:type="pct"/>
                  <w:tcBorders>
                    <w:tl2br w:val="nil"/>
                    <w:tr2bl w:val="nil"/>
                  </w:tcBorders>
                  <w:vAlign w:val="center"/>
                </w:tcPr>
                <w:p w14:paraId="7178CE32">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b/>
                      <w:bCs/>
                      <w:spacing w:val="-2"/>
                      <w:sz w:val="18"/>
                      <w:szCs w:val="18"/>
                    </w:rPr>
                    <w:t>可能受影响的</w:t>
                  </w:r>
                  <w:r>
                    <w:rPr>
                      <w:rFonts w:hint="eastAsia" w:ascii="仿宋" w:hAnsi="仿宋" w:eastAsia="仿宋" w:cs="仿宋"/>
                      <w:sz w:val="18"/>
                      <w:szCs w:val="18"/>
                    </w:rPr>
                    <w:t xml:space="preserve"> </w:t>
                  </w:r>
                  <w:r>
                    <w:rPr>
                      <w:rFonts w:hint="eastAsia" w:ascii="仿宋" w:hAnsi="仿宋" w:eastAsia="仿宋" w:cs="仿宋"/>
                      <w:b/>
                      <w:bCs/>
                      <w:spacing w:val="-2"/>
                      <w:sz w:val="18"/>
                      <w:szCs w:val="18"/>
                    </w:rPr>
                    <w:t>环境敏感目标</w:t>
                  </w:r>
                </w:p>
              </w:tc>
            </w:tr>
            <w:tr w14:paraId="7A8882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89" w:type="pct"/>
                  <w:tcBorders>
                    <w:tl2br w:val="nil"/>
                    <w:tr2bl w:val="nil"/>
                  </w:tcBorders>
                  <w:vAlign w:val="center"/>
                </w:tcPr>
                <w:p w14:paraId="7770BF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z w:val="18"/>
                      <w:szCs w:val="18"/>
                    </w:rPr>
                    <w:t>1</w:t>
                  </w:r>
                </w:p>
              </w:tc>
              <w:tc>
                <w:tcPr>
                  <w:tcW w:w="672" w:type="pct"/>
                  <w:tcBorders>
                    <w:tl2br w:val="nil"/>
                    <w:tr2bl w:val="nil"/>
                  </w:tcBorders>
                  <w:vAlign w:val="center"/>
                </w:tcPr>
                <w:p w14:paraId="6D51258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sz w:val="18"/>
                      <w:szCs w:val="18"/>
                      <w:lang w:val="en-US" w:eastAsia="zh-CN"/>
                    </w:rPr>
                  </w:pPr>
                  <w:r>
                    <w:rPr>
                      <w:rFonts w:hint="eastAsia" w:ascii="仿宋" w:hAnsi="仿宋" w:eastAsia="仿宋" w:cs="仿宋"/>
                      <w:spacing w:val="-1"/>
                      <w:sz w:val="18"/>
                      <w:szCs w:val="18"/>
                      <w:lang w:val="en-US" w:eastAsia="zh-CN"/>
                    </w:rPr>
                    <w:t>污泥暂存区</w:t>
                  </w:r>
                </w:p>
              </w:tc>
              <w:tc>
                <w:tcPr>
                  <w:tcW w:w="651" w:type="pct"/>
                  <w:tcBorders>
                    <w:tl2br w:val="nil"/>
                    <w:tr2bl w:val="nil"/>
                  </w:tcBorders>
                  <w:vAlign w:val="center"/>
                </w:tcPr>
                <w:p w14:paraId="5E27FAF4">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3"/>
                      <w:sz w:val="18"/>
                      <w:szCs w:val="18"/>
                    </w:rPr>
                    <w:t>污泥</w:t>
                  </w:r>
                </w:p>
              </w:tc>
              <w:tc>
                <w:tcPr>
                  <w:tcW w:w="666" w:type="pct"/>
                  <w:tcBorders>
                    <w:tl2br w:val="nil"/>
                    <w:tr2bl w:val="nil"/>
                  </w:tcBorders>
                  <w:vAlign w:val="center"/>
                </w:tcPr>
                <w:p w14:paraId="17756E3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6"/>
                      <w:sz w:val="18"/>
                      <w:szCs w:val="18"/>
                    </w:rPr>
                    <w:t>各类重金属</w:t>
                  </w:r>
                </w:p>
              </w:tc>
              <w:tc>
                <w:tcPr>
                  <w:tcW w:w="1234" w:type="pct"/>
                  <w:tcBorders>
                    <w:tl2br w:val="nil"/>
                    <w:tr2bl w:val="nil"/>
                  </w:tcBorders>
                  <w:vAlign w:val="center"/>
                </w:tcPr>
                <w:p w14:paraId="02786FD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2"/>
                      <w:sz w:val="18"/>
                      <w:szCs w:val="18"/>
                    </w:rPr>
                    <w:t>防渗层破损引发污染物垂</w:t>
                  </w:r>
                  <w:r>
                    <w:rPr>
                      <w:rFonts w:hint="eastAsia" w:ascii="仿宋" w:hAnsi="仿宋" w:eastAsia="仿宋" w:cs="仿宋"/>
                      <w:spacing w:val="-6"/>
                      <w:sz w:val="18"/>
                      <w:szCs w:val="18"/>
                    </w:rPr>
                    <w:t>直入渗；废气收集处理措施</w:t>
                  </w:r>
                  <w:r>
                    <w:rPr>
                      <w:rFonts w:hint="eastAsia" w:ascii="仿宋" w:hAnsi="仿宋" w:eastAsia="仿宋" w:cs="仿宋"/>
                      <w:spacing w:val="-2"/>
                      <w:sz w:val="18"/>
                      <w:szCs w:val="18"/>
                    </w:rPr>
                    <w:t>非正常运行</w:t>
                  </w:r>
                </w:p>
              </w:tc>
              <w:tc>
                <w:tcPr>
                  <w:tcW w:w="675" w:type="pct"/>
                  <w:tcBorders>
                    <w:tl2br w:val="nil"/>
                    <w:tr2bl w:val="nil"/>
                  </w:tcBorders>
                  <w:vAlign w:val="center"/>
                </w:tcPr>
                <w:p w14:paraId="28AF652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垂直入渗、气</w:t>
                  </w:r>
                  <w:r>
                    <w:rPr>
                      <w:rFonts w:hint="eastAsia" w:ascii="仿宋" w:hAnsi="仿宋" w:eastAsia="仿宋" w:cs="仿宋"/>
                      <w:spacing w:val="2"/>
                      <w:sz w:val="18"/>
                      <w:szCs w:val="18"/>
                    </w:rPr>
                    <w:t xml:space="preserve"> </w:t>
                  </w:r>
                  <w:r>
                    <w:rPr>
                      <w:rFonts w:hint="eastAsia" w:ascii="仿宋" w:hAnsi="仿宋" w:eastAsia="仿宋" w:cs="仿宋"/>
                      <w:spacing w:val="-1"/>
                      <w:sz w:val="18"/>
                      <w:szCs w:val="18"/>
                    </w:rPr>
                    <w:t>体扩散等</w:t>
                  </w:r>
                </w:p>
              </w:tc>
              <w:tc>
                <w:tcPr>
                  <w:tcW w:w="809" w:type="pct"/>
                  <w:tcBorders>
                    <w:tl2br w:val="nil"/>
                    <w:tr2bl w:val="nil"/>
                  </w:tcBorders>
                  <w:vAlign w:val="center"/>
                </w:tcPr>
                <w:p w14:paraId="708E1FD6">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0"/>
                      <w:sz w:val="18"/>
                      <w:szCs w:val="18"/>
                    </w:rPr>
                    <w:t>地下水、土壤、环</w:t>
                  </w:r>
                  <w:r>
                    <w:rPr>
                      <w:rFonts w:hint="eastAsia" w:ascii="仿宋" w:hAnsi="仿宋" w:eastAsia="仿宋" w:cs="仿宋"/>
                      <w:spacing w:val="4"/>
                      <w:sz w:val="18"/>
                      <w:szCs w:val="18"/>
                    </w:rPr>
                    <w:t xml:space="preserve"> </w:t>
                  </w:r>
                  <w:r>
                    <w:rPr>
                      <w:rFonts w:hint="eastAsia" w:ascii="仿宋" w:hAnsi="仿宋" w:eastAsia="仿宋" w:cs="仿宋"/>
                      <w:spacing w:val="-2"/>
                      <w:sz w:val="18"/>
                      <w:szCs w:val="18"/>
                    </w:rPr>
                    <w:t>境空气</w:t>
                  </w:r>
                </w:p>
              </w:tc>
            </w:tr>
            <w:tr w14:paraId="3702A8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89" w:type="pct"/>
                  <w:tcBorders>
                    <w:tl2br w:val="nil"/>
                    <w:tr2bl w:val="nil"/>
                  </w:tcBorders>
                  <w:vAlign w:val="center"/>
                </w:tcPr>
                <w:p w14:paraId="44CBB0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z w:val="18"/>
                      <w:szCs w:val="18"/>
                    </w:rPr>
                    <w:t>3</w:t>
                  </w:r>
                </w:p>
              </w:tc>
              <w:tc>
                <w:tcPr>
                  <w:tcW w:w="672" w:type="pct"/>
                  <w:tcBorders>
                    <w:tl2br w:val="nil"/>
                    <w:tr2bl w:val="nil"/>
                  </w:tcBorders>
                  <w:vAlign w:val="center"/>
                </w:tcPr>
                <w:p w14:paraId="35A13853">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危废暂存间</w:t>
                  </w:r>
                </w:p>
              </w:tc>
              <w:tc>
                <w:tcPr>
                  <w:tcW w:w="651" w:type="pct"/>
                  <w:tcBorders>
                    <w:tl2br w:val="nil"/>
                    <w:tr2bl w:val="nil"/>
                  </w:tcBorders>
                  <w:vAlign w:val="center"/>
                </w:tcPr>
                <w:p w14:paraId="43809D5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各类危险废物</w:t>
                  </w:r>
                </w:p>
              </w:tc>
              <w:tc>
                <w:tcPr>
                  <w:tcW w:w="666" w:type="pct"/>
                  <w:tcBorders>
                    <w:tl2br w:val="nil"/>
                    <w:tr2bl w:val="nil"/>
                  </w:tcBorders>
                  <w:vAlign w:val="center"/>
                </w:tcPr>
                <w:p w14:paraId="6928A23D">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石油烃等</w:t>
                  </w:r>
                </w:p>
              </w:tc>
              <w:tc>
                <w:tcPr>
                  <w:tcW w:w="1234" w:type="pct"/>
                  <w:tcBorders>
                    <w:tl2br w:val="nil"/>
                    <w:tr2bl w:val="nil"/>
                  </w:tcBorders>
                  <w:vAlign w:val="center"/>
                </w:tcPr>
                <w:p w14:paraId="4197DC6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储运过程操作不当导致物</w:t>
                  </w:r>
                  <w:r>
                    <w:rPr>
                      <w:rFonts w:hint="eastAsia" w:ascii="仿宋" w:hAnsi="仿宋" w:eastAsia="仿宋" w:cs="仿宋"/>
                      <w:spacing w:val="6"/>
                      <w:sz w:val="18"/>
                      <w:szCs w:val="18"/>
                    </w:rPr>
                    <w:t xml:space="preserve"> </w:t>
                  </w:r>
                  <w:r>
                    <w:rPr>
                      <w:rFonts w:hint="eastAsia" w:ascii="仿宋" w:hAnsi="仿宋" w:eastAsia="仿宋" w:cs="仿宋"/>
                      <w:spacing w:val="-1"/>
                      <w:sz w:val="18"/>
                      <w:szCs w:val="18"/>
                    </w:rPr>
                    <w:t>料泄漏</w:t>
                  </w:r>
                </w:p>
              </w:tc>
              <w:tc>
                <w:tcPr>
                  <w:tcW w:w="675" w:type="pct"/>
                  <w:tcBorders>
                    <w:tl2br w:val="nil"/>
                    <w:tr2bl w:val="nil"/>
                  </w:tcBorders>
                  <w:vAlign w:val="center"/>
                </w:tcPr>
                <w:p w14:paraId="237B30CE">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2"/>
                      <w:sz w:val="18"/>
                      <w:szCs w:val="18"/>
                    </w:rPr>
                    <w:t>漫流下渗</w:t>
                  </w:r>
                </w:p>
              </w:tc>
              <w:tc>
                <w:tcPr>
                  <w:tcW w:w="809" w:type="pct"/>
                  <w:tcBorders>
                    <w:tl2br w:val="nil"/>
                    <w:tr2bl w:val="nil"/>
                  </w:tcBorders>
                  <w:vAlign w:val="center"/>
                </w:tcPr>
                <w:p w14:paraId="7830B62C">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地下水、土壤</w:t>
                  </w:r>
                </w:p>
              </w:tc>
            </w:tr>
            <w:tr w14:paraId="13E4C8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89" w:type="pct"/>
                  <w:tcBorders>
                    <w:tl2br w:val="nil"/>
                    <w:tr2bl w:val="nil"/>
                  </w:tcBorders>
                  <w:vAlign w:val="center"/>
                </w:tcPr>
                <w:p w14:paraId="33938F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z w:val="18"/>
                      <w:szCs w:val="18"/>
                    </w:rPr>
                    <w:t>4</w:t>
                  </w:r>
                </w:p>
              </w:tc>
              <w:tc>
                <w:tcPr>
                  <w:tcW w:w="672" w:type="pct"/>
                  <w:tcBorders>
                    <w:tl2br w:val="nil"/>
                    <w:tr2bl w:val="nil"/>
                  </w:tcBorders>
                  <w:vAlign w:val="center"/>
                </w:tcPr>
                <w:p w14:paraId="64DCB0F9">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废气净化装置</w:t>
                  </w:r>
                </w:p>
              </w:tc>
              <w:tc>
                <w:tcPr>
                  <w:tcW w:w="651" w:type="pct"/>
                  <w:tcBorders>
                    <w:tl2br w:val="nil"/>
                    <w:tr2bl w:val="nil"/>
                  </w:tcBorders>
                  <w:vAlign w:val="center"/>
                </w:tcPr>
                <w:p w14:paraId="51FE93C3">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废气处理</w:t>
                  </w:r>
                </w:p>
              </w:tc>
              <w:tc>
                <w:tcPr>
                  <w:tcW w:w="666" w:type="pct"/>
                  <w:tcBorders>
                    <w:tl2br w:val="nil"/>
                    <w:tr2bl w:val="nil"/>
                  </w:tcBorders>
                  <w:vAlign w:val="center"/>
                </w:tcPr>
                <w:p w14:paraId="63C4A39F">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粉尘、臭气等</w:t>
                  </w:r>
                </w:p>
              </w:tc>
              <w:tc>
                <w:tcPr>
                  <w:tcW w:w="1234" w:type="pct"/>
                  <w:tcBorders>
                    <w:tl2br w:val="nil"/>
                    <w:tr2bl w:val="nil"/>
                  </w:tcBorders>
                  <w:vAlign w:val="center"/>
                </w:tcPr>
                <w:p w14:paraId="0F7A4948">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
                      <w:sz w:val="18"/>
                      <w:szCs w:val="18"/>
                    </w:rPr>
                    <w:t>废气收集处理措施非正常</w:t>
                  </w:r>
                  <w:r>
                    <w:rPr>
                      <w:rFonts w:hint="eastAsia" w:ascii="仿宋" w:hAnsi="仿宋" w:eastAsia="仿宋" w:cs="仿宋"/>
                      <w:spacing w:val="6"/>
                      <w:sz w:val="18"/>
                      <w:szCs w:val="18"/>
                    </w:rPr>
                    <w:t xml:space="preserve"> </w:t>
                  </w:r>
                  <w:r>
                    <w:rPr>
                      <w:rFonts w:hint="eastAsia" w:ascii="仿宋" w:hAnsi="仿宋" w:eastAsia="仿宋" w:cs="仿宋"/>
                      <w:spacing w:val="-1"/>
                      <w:sz w:val="18"/>
                      <w:szCs w:val="18"/>
                    </w:rPr>
                    <w:t>运行，循环水池发生破裂</w:t>
                  </w:r>
                </w:p>
              </w:tc>
              <w:tc>
                <w:tcPr>
                  <w:tcW w:w="675" w:type="pct"/>
                  <w:tcBorders>
                    <w:tl2br w:val="nil"/>
                    <w:tr2bl w:val="nil"/>
                  </w:tcBorders>
                  <w:vAlign w:val="center"/>
                </w:tcPr>
                <w:p w14:paraId="3ADF3010">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3"/>
                      <w:sz w:val="18"/>
                      <w:szCs w:val="18"/>
                    </w:rPr>
                    <w:t>漫流下渗、气</w:t>
                  </w:r>
                  <w:r>
                    <w:rPr>
                      <w:rFonts w:hint="eastAsia" w:ascii="仿宋" w:hAnsi="仿宋" w:eastAsia="仿宋" w:cs="仿宋"/>
                      <w:sz w:val="18"/>
                      <w:szCs w:val="18"/>
                    </w:rPr>
                    <w:t xml:space="preserve"> </w:t>
                  </w:r>
                  <w:r>
                    <w:rPr>
                      <w:rFonts w:hint="eastAsia" w:ascii="仿宋" w:hAnsi="仿宋" w:eastAsia="仿宋" w:cs="仿宋"/>
                      <w:spacing w:val="-1"/>
                      <w:sz w:val="18"/>
                      <w:szCs w:val="18"/>
                    </w:rPr>
                    <w:t>体扩散等</w:t>
                  </w:r>
                </w:p>
              </w:tc>
              <w:tc>
                <w:tcPr>
                  <w:tcW w:w="809" w:type="pct"/>
                  <w:tcBorders>
                    <w:tl2br w:val="nil"/>
                    <w:tr2bl w:val="nil"/>
                  </w:tcBorders>
                  <w:vAlign w:val="center"/>
                </w:tcPr>
                <w:p w14:paraId="6B252B1B">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pacing w:val="-10"/>
                      <w:sz w:val="18"/>
                      <w:szCs w:val="18"/>
                    </w:rPr>
                    <w:t>地下水、土壤、环</w:t>
                  </w:r>
                  <w:r>
                    <w:rPr>
                      <w:rFonts w:hint="eastAsia" w:ascii="仿宋" w:hAnsi="仿宋" w:eastAsia="仿宋" w:cs="仿宋"/>
                      <w:spacing w:val="4"/>
                      <w:sz w:val="18"/>
                      <w:szCs w:val="18"/>
                    </w:rPr>
                    <w:t xml:space="preserve"> </w:t>
                  </w:r>
                  <w:r>
                    <w:rPr>
                      <w:rFonts w:hint="eastAsia" w:ascii="仿宋" w:hAnsi="仿宋" w:eastAsia="仿宋" w:cs="仿宋"/>
                      <w:spacing w:val="-2"/>
                      <w:sz w:val="18"/>
                      <w:szCs w:val="18"/>
                    </w:rPr>
                    <w:t>境空气</w:t>
                  </w:r>
                </w:p>
              </w:tc>
            </w:tr>
            <w:tr w14:paraId="697FA8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89" w:type="pct"/>
                  <w:tcBorders>
                    <w:tl2br w:val="nil"/>
                    <w:tr2bl w:val="nil"/>
                  </w:tcBorders>
                  <w:vAlign w:val="center"/>
                </w:tcPr>
                <w:p w14:paraId="07A05E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18"/>
                      <w:szCs w:val="18"/>
                    </w:rPr>
                  </w:pPr>
                  <w:r>
                    <w:rPr>
                      <w:rFonts w:hint="eastAsia" w:ascii="仿宋" w:hAnsi="仿宋" w:eastAsia="仿宋" w:cs="仿宋"/>
                      <w:sz w:val="18"/>
                      <w:szCs w:val="18"/>
                    </w:rPr>
                    <w:t>6</w:t>
                  </w:r>
                </w:p>
              </w:tc>
              <w:tc>
                <w:tcPr>
                  <w:tcW w:w="672" w:type="pct"/>
                  <w:tcBorders>
                    <w:tl2br w:val="nil"/>
                    <w:tr2bl w:val="nil"/>
                  </w:tcBorders>
                  <w:vAlign w:val="center"/>
                </w:tcPr>
                <w:p w14:paraId="5F7DB6D5">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lang w:val="en-US" w:eastAsia="zh-CN"/>
                    </w:rPr>
                    <w:t>原材料库</w:t>
                  </w:r>
                </w:p>
              </w:tc>
              <w:tc>
                <w:tcPr>
                  <w:tcW w:w="651" w:type="pct"/>
                  <w:tcBorders>
                    <w:tl2br w:val="nil"/>
                    <w:tr2bl w:val="nil"/>
                  </w:tcBorders>
                  <w:vAlign w:val="center"/>
                </w:tcPr>
                <w:p w14:paraId="245432E9">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rPr>
                    <w:t>火灾</w:t>
                  </w:r>
                </w:p>
              </w:tc>
              <w:tc>
                <w:tcPr>
                  <w:tcW w:w="666" w:type="pct"/>
                  <w:tcBorders>
                    <w:tl2br w:val="nil"/>
                    <w:tr2bl w:val="nil"/>
                  </w:tcBorders>
                  <w:vAlign w:val="center"/>
                </w:tcPr>
                <w:p w14:paraId="30FA4777">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rPr>
                    <w:t>消防废水、烟 尘等</w:t>
                  </w:r>
                </w:p>
              </w:tc>
              <w:tc>
                <w:tcPr>
                  <w:tcW w:w="1234" w:type="pct"/>
                  <w:tcBorders>
                    <w:tl2br w:val="nil"/>
                    <w:tr2bl w:val="nil"/>
                  </w:tcBorders>
                  <w:vAlign w:val="center"/>
                </w:tcPr>
                <w:p w14:paraId="73E94AC4">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rPr>
                    <w:t>消防废水未有效收容，经雨水管网进入周边地表水；火灾时产生的烟尘等废气随大气扩散</w:t>
                  </w:r>
                </w:p>
              </w:tc>
              <w:tc>
                <w:tcPr>
                  <w:tcW w:w="675" w:type="pct"/>
                  <w:tcBorders>
                    <w:tl2br w:val="nil"/>
                    <w:tr2bl w:val="nil"/>
                  </w:tcBorders>
                  <w:vAlign w:val="center"/>
                </w:tcPr>
                <w:p w14:paraId="7B3701E3">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rPr>
                    <w:t>地表漫流、气 体扩散</w:t>
                  </w:r>
                </w:p>
              </w:tc>
              <w:tc>
                <w:tcPr>
                  <w:tcW w:w="809" w:type="pct"/>
                  <w:tcBorders>
                    <w:tl2br w:val="nil"/>
                    <w:tr2bl w:val="nil"/>
                  </w:tcBorders>
                  <w:vAlign w:val="center"/>
                </w:tcPr>
                <w:p w14:paraId="0BC3DA25">
                  <w:pPr>
                    <w:pStyle w:val="13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1"/>
                      <w:sz w:val="18"/>
                      <w:szCs w:val="18"/>
                    </w:rPr>
                  </w:pPr>
                  <w:r>
                    <w:rPr>
                      <w:rFonts w:hint="eastAsia" w:ascii="仿宋" w:hAnsi="仿宋" w:eastAsia="仿宋" w:cs="仿宋"/>
                      <w:spacing w:val="-1"/>
                      <w:sz w:val="18"/>
                      <w:szCs w:val="18"/>
                    </w:rPr>
                    <w:t>地表水、环境空气</w:t>
                  </w:r>
                </w:p>
              </w:tc>
            </w:tr>
          </w:tbl>
          <w:p w14:paraId="0322BDB6">
            <w:pPr>
              <w:pStyle w:val="136"/>
              <w:keepNext w:val="0"/>
              <w:keepLines w:val="0"/>
              <w:pageBreakBefore w:val="0"/>
              <w:widowControl/>
              <w:wordWrap/>
              <w:overflowPunct/>
              <w:topLinePunct w:val="0"/>
              <w:bidi w:val="0"/>
              <w:spacing w:line="360" w:lineRule="auto"/>
              <w:ind w:left="0" w:right="0" w:firstLine="466" w:firstLineChars="200"/>
              <w:rPr>
                <w:rFonts w:hint="eastAsia" w:ascii="仿宋" w:hAnsi="仿宋" w:eastAsia="仿宋" w:cs="仿宋"/>
                <w:sz w:val="24"/>
                <w:szCs w:val="24"/>
              </w:rPr>
            </w:pPr>
            <w:r>
              <w:rPr>
                <w:rFonts w:hint="eastAsia" w:ascii="仿宋" w:hAnsi="仿宋" w:eastAsia="仿宋" w:cs="仿宋"/>
                <w:b/>
                <w:bCs/>
                <w:spacing w:val="-4"/>
                <w:sz w:val="24"/>
                <w:szCs w:val="24"/>
              </w:rPr>
              <w:t>（3）环境风险防范措施</w:t>
            </w:r>
          </w:p>
          <w:p w14:paraId="4AC3E513">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1）强化风险意识、加强安全管理</w:t>
            </w:r>
          </w:p>
          <w:p w14:paraId="433A8D36">
            <w:pPr>
              <w:pStyle w:val="136"/>
              <w:keepNext w:val="0"/>
              <w:keepLines w:val="0"/>
              <w:pageBreakBefore w:val="0"/>
              <w:widowControl/>
              <w:wordWrap/>
              <w:overflowPunct/>
              <w:topLinePunct w:val="0"/>
              <w:bidi w:val="0"/>
              <w:spacing w:line="360" w:lineRule="auto"/>
              <w:ind w:left="0" w:right="0" w:firstLine="472" w:firstLineChars="200"/>
              <w:jc w:val="both"/>
              <w:rPr>
                <w:rFonts w:hint="eastAsia" w:ascii="仿宋" w:hAnsi="仿宋" w:eastAsia="仿宋" w:cs="仿宋"/>
                <w:sz w:val="24"/>
                <w:szCs w:val="24"/>
              </w:rPr>
            </w:pPr>
            <w:r>
              <w:rPr>
                <w:rFonts w:hint="eastAsia" w:ascii="仿宋" w:hAnsi="仿宋" w:eastAsia="仿宋" w:cs="仿宋"/>
                <w:spacing w:val="-2"/>
                <w:sz w:val="24"/>
                <w:szCs w:val="24"/>
              </w:rPr>
              <w:t>定期进行必要的安全生产培训，使所有操作</w:t>
            </w:r>
            <w:r>
              <w:rPr>
                <w:rFonts w:hint="eastAsia" w:ascii="仿宋" w:hAnsi="仿宋" w:eastAsia="仿宋" w:cs="仿宋"/>
                <w:spacing w:val="-3"/>
                <w:sz w:val="24"/>
                <w:szCs w:val="24"/>
              </w:rPr>
              <w:t>人员熟悉自己的岗位，树立严谨规范的操作作</w:t>
            </w:r>
            <w:r>
              <w:rPr>
                <w:rFonts w:hint="eastAsia" w:ascii="仿宋" w:hAnsi="仿宋" w:eastAsia="仿宋" w:cs="仿宋"/>
                <w:spacing w:val="-2"/>
                <w:sz w:val="24"/>
                <w:szCs w:val="24"/>
              </w:rPr>
              <w:t>风，在任何紧急状况下都能随时对工艺设备进行控制，并</w:t>
            </w:r>
            <w:r>
              <w:rPr>
                <w:rFonts w:hint="eastAsia" w:ascii="仿宋" w:hAnsi="仿宋" w:eastAsia="仿宋" w:cs="仿宋"/>
                <w:spacing w:val="-3"/>
                <w:sz w:val="24"/>
                <w:szCs w:val="24"/>
              </w:rPr>
              <w:t>及时、独立、正确的实施相关应急措</w:t>
            </w:r>
            <w:r>
              <w:rPr>
                <w:rFonts w:hint="eastAsia" w:ascii="仿宋" w:hAnsi="仿宋" w:eastAsia="仿宋" w:cs="仿宋"/>
                <w:spacing w:val="-2"/>
                <w:sz w:val="24"/>
                <w:szCs w:val="24"/>
              </w:rPr>
              <w:t>施；将国家要求和安全技术规范转化为各自岗位的安全操作规程，</w:t>
            </w:r>
            <w:r>
              <w:rPr>
                <w:rFonts w:hint="eastAsia" w:ascii="仿宋" w:hAnsi="仿宋" w:eastAsia="仿宋" w:cs="仿宋"/>
                <w:spacing w:val="-3"/>
                <w:sz w:val="24"/>
                <w:szCs w:val="24"/>
              </w:rPr>
              <w:t>并悬挂在岗位醒目位置，规范岗位操作，降低事故概率。</w:t>
            </w:r>
          </w:p>
          <w:p w14:paraId="593AD737">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2）加强生产过程安全控制</w:t>
            </w:r>
          </w:p>
          <w:p w14:paraId="034CC4C6">
            <w:pPr>
              <w:pStyle w:val="136"/>
              <w:keepNext w:val="0"/>
              <w:keepLines w:val="0"/>
              <w:pageBreakBefore w:val="0"/>
              <w:widowControl/>
              <w:wordWrap/>
              <w:overflowPunct/>
              <w:topLinePunct w:val="0"/>
              <w:bidi w:val="0"/>
              <w:spacing w:line="360" w:lineRule="auto"/>
              <w:ind w:left="0" w:right="0" w:firstLine="456" w:firstLineChars="200"/>
              <w:rPr>
                <w:rFonts w:hint="eastAsia" w:ascii="仿宋" w:hAnsi="仿宋" w:eastAsia="仿宋" w:cs="仿宋"/>
                <w:sz w:val="24"/>
                <w:szCs w:val="24"/>
              </w:rPr>
            </w:pPr>
            <w:r>
              <w:rPr>
                <w:rFonts w:hint="eastAsia" w:ascii="仿宋" w:hAnsi="仿宋" w:eastAsia="仿宋" w:cs="仿宋"/>
                <w:spacing w:val="-6"/>
                <w:sz w:val="24"/>
                <w:szCs w:val="24"/>
              </w:rPr>
              <w:t>①事故性泄漏常与设备故障、人员操作不当相关联，生产过程中要密切</w:t>
            </w:r>
            <w:r>
              <w:rPr>
                <w:rFonts w:hint="eastAsia" w:ascii="仿宋" w:hAnsi="仿宋" w:eastAsia="仿宋" w:cs="仿宋"/>
                <w:spacing w:val="-7"/>
                <w:sz w:val="24"/>
                <w:szCs w:val="24"/>
              </w:rPr>
              <w:t>注意事故易发部位，</w:t>
            </w:r>
            <w:r>
              <w:rPr>
                <w:rFonts w:hint="eastAsia" w:ascii="仿宋" w:hAnsi="仿宋" w:eastAsia="仿宋" w:cs="仿宋"/>
                <w:spacing w:val="-2"/>
                <w:sz w:val="24"/>
                <w:szCs w:val="24"/>
              </w:rPr>
              <w:t>做好运行监督检查与维修保养，防患于未然。</w:t>
            </w:r>
          </w:p>
          <w:p w14:paraId="09E04271">
            <w:pPr>
              <w:pStyle w:val="136"/>
              <w:keepNext w:val="0"/>
              <w:keepLines w:val="0"/>
              <w:pageBreakBefore w:val="0"/>
              <w:widowControl/>
              <w:wordWrap/>
              <w:overflowPunct/>
              <w:topLinePunct w:val="0"/>
              <w:bidi w:val="0"/>
              <w:spacing w:line="360" w:lineRule="auto"/>
              <w:ind w:left="0" w:right="0" w:firstLine="472" w:firstLineChars="200"/>
              <w:rPr>
                <w:rFonts w:hint="eastAsia" w:ascii="仿宋" w:hAnsi="仿宋" w:eastAsia="仿宋" w:cs="仿宋"/>
                <w:sz w:val="24"/>
                <w:szCs w:val="24"/>
              </w:rPr>
            </w:pPr>
            <w:r>
              <w:rPr>
                <w:rFonts w:hint="eastAsia" w:ascii="仿宋" w:hAnsi="仿宋" w:eastAsia="仿宋" w:cs="仿宋"/>
                <w:spacing w:val="-2"/>
                <w:sz w:val="24"/>
                <w:szCs w:val="24"/>
              </w:rPr>
              <w:t>②必须组织专门人员每天每班多次进行周期性巡回检查</w:t>
            </w:r>
            <w:r>
              <w:rPr>
                <w:rFonts w:hint="eastAsia" w:ascii="仿宋" w:hAnsi="仿宋" w:eastAsia="仿宋" w:cs="仿宋"/>
                <w:spacing w:val="-3"/>
                <w:sz w:val="24"/>
                <w:szCs w:val="24"/>
              </w:rPr>
              <w:t>，发现异常应及时检修，杜绝相关设施带病或不正常运转。</w:t>
            </w:r>
          </w:p>
          <w:p w14:paraId="41EB206E">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3）加强末端处理设施风险防范</w:t>
            </w:r>
          </w:p>
          <w:p w14:paraId="75CE60B9">
            <w:pPr>
              <w:pStyle w:val="136"/>
              <w:keepNext w:val="0"/>
              <w:keepLines w:val="0"/>
              <w:pageBreakBefore w:val="0"/>
              <w:widowControl/>
              <w:wordWrap/>
              <w:overflowPunct/>
              <w:topLinePunct w:val="0"/>
              <w:bidi w:val="0"/>
              <w:spacing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①</w:t>
            </w:r>
            <w:r>
              <w:rPr>
                <w:rFonts w:hint="eastAsia" w:ascii="仿宋" w:hAnsi="仿宋" w:eastAsia="仿宋" w:cs="仿宋"/>
                <w:spacing w:val="-4"/>
                <w:sz w:val="24"/>
                <w:szCs w:val="24"/>
              </w:rPr>
              <w:t>企业应委托有相应资质的设计单位对环保设施进行</w:t>
            </w:r>
            <w:r>
              <w:rPr>
                <w:rFonts w:hint="eastAsia" w:ascii="仿宋" w:hAnsi="仿宋" w:eastAsia="仿宋" w:cs="仿宋"/>
                <w:spacing w:val="-2"/>
                <w:sz w:val="24"/>
                <w:szCs w:val="24"/>
              </w:rPr>
              <w:t>设计，落实安全生产相关技术要求。</w:t>
            </w:r>
          </w:p>
          <w:p w14:paraId="27A68E17">
            <w:pPr>
              <w:pStyle w:val="136"/>
              <w:keepNext w:val="0"/>
              <w:keepLines w:val="0"/>
              <w:pageBreakBefore w:val="0"/>
              <w:widowControl/>
              <w:wordWrap/>
              <w:overflowPunct/>
              <w:topLinePunct w:val="0"/>
              <w:bidi w:val="0"/>
              <w:spacing w:line="360" w:lineRule="auto"/>
              <w:ind w:left="0" w:right="0" w:firstLine="472" w:firstLineChars="200"/>
              <w:rPr>
                <w:rFonts w:hint="eastAsia" w:ascii="仿宋" w:hAnsi="仿宋" w:eastAsia="仿宋" w:cs="仿宋"/>
                <w:sz w:val="24"/>
                <w:szCs w:val="24"/>
              </w:rPr>
            </w:pPr>
            <w:r>
              <w:rPr>
                <w:rFonts w:hint="eastAsia" w:ascii="仿宋" w:hAnsi="仿宋" w:eastAsia="仿宋" w:cs="仿宋"/>
                <w:spacing w:val="-2"/>
                <w:sz w:val="24"/>
                <w:szCs w:val="24"/>
              </w:rPr>
              <w:t>②废气等末端治理措施必须确保正常运行，如发现人为原因</w:t>
            </w:r>
            <w:r>
              <w:rPr>
                <w:rFonts w:hint="eastAsia" w:ascii="仿宋" w:hAnsi="仿宋" w:eastAsia="仿宋" w:cs="仿宋"/>
                <w:spacing w:val="-3"/>
                <w:sz w:val="24"/>
                <w:szCs w:val="24"/>
              </w:rPr>
              <w:t>不开启治理设施，责任人应受</w:t>
            </w:r>
            <w:r>
              <w:rPr>
                <w:rFonts w:hint="eastAsia" w:ascii="仿宋" w:hAnsi="仿宋" w:eastAsia="仿宋" w:cs="仿宋"/>
                <w:spacing w:val="-1"/>
                <w:sz w:val="24"/>
                <w:szCs w:val="24"/>
              </w:rPr>
              <w:t>行政和经济处罚，并承担事故排放责任。</w:t>
            </w:r>
          </w:p>
          <w:p w14:paraId="7F8BF78C">
            <w:pPr>
              <w:pStyle w:val="136"/>
              <w:keepNext w:val="0"/>
              <w:keepLines w:val="0"/>
              <w:pageBreakBefore w:val="0"/>
              <w:widowControl/>
              <w:wordWrap/>
              <w:overflowPunct/>
              <w:topLinePunct w:val="0"/>
              <w:bidi w:val="0"/>
              <w:spacing w:line="360" w:lineRule="auto"/>
              <w:ind w:left="0" w:right="0" w:firstLine="476" w:firstLineChars="200"/>
              <w:rPr>
                <w:rFonts w:hint="eastAsia" w:ascii="仿宋" w:hAnsi="仿宋" w:eastAsia="仿宋" w:cs="仿宋"/>
                <w:sz w:val="24"/>
                <w:szCs w:val="24"/>
              </w:rPr>
            </w:pPr>
            <w:r>
              <w:rPr>
                <w:rFonts w:hint="eastAsia" w:ascii="仿宋" w:hAnsi="仿宋" w:eastAsia="仿宋" w:cs="仿宋"/>
                <w:spacing w:val="-1"/>
                <w:sz w:val="24"/>
                <w:szCs w:val="24"/>
              </w:rPr>
              <w:t>③为确保处理效率，末端处理设施应进行周期性检修维护，日常应有专人负责。</w:t>
            </w:r>
          </w:p>
          <w:p w14:paraId="198E4EB3">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4）加强运输过程事故风险防范</w:t>
            </w:r>
          </w:p>
          <w:p w14:paraId="3CE659FA">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72" w:firstLineChars="200"/>
              <w:jc w:val="both"/>
              <w:textAlignment w:val="auto"/>
              <w:rPr>
                <w:rFonts w:hint="eastAsia" w:ascii="仿宋" w:hAnsi="仿宋" w:eastAsia="仿宋" w:cs="仿宋"/>
                <w:sz w:val="24"/>
                <w:szCs w:val="24"/>
              </w:rPr>
            </w:pPr>
            <w:r>
              <w:rPr>
                <w:rFonts w:hint="eastAsia" w:ascii="仿宋" w:hAnsi="仿宋" w:eastAsia="仿宋" w:cs="仿宋"/>
                <w:spacing w:val="-2"/>
                <w:sz w:val="24"/>
                <w:szCs w:val="24"/>
              </w:rPr>
              <w:t>①由于部分物料易散发异味，因此应合理规划运输路线及时间</w:t>
            </w:r>
            <w:r>
              <w:rPr>
                <w:rFonts w:hint="eastAsia" w:ascii="仿宋" w:hAnsi="仿宋" w:eastAsia="仿宋" w:cs="仿宋"/>
                <w:spacing w:val="-3"/>
                <w:sz w:val="24"/>
                <w:szCs w:val="24"/>
              </w:rPr>
              <w:t>，运输车辆行使应避开居民</w:t>
            </w:r>
            <w:r>
              <w:rPr>
                <w:rFonts w:hint="eastAsia" w:ascii="仿宋" w:hAnsi="仿宋" w:eastAsia="仿宋" w:cs="仿宋"/>
                <w:spacing w:val="-1"/>
                <w:sz w:val="24"/>
                <w:szCs w:val="24"/>
              </w:rPr>
              <w:t>区、学校、医院、水源保护区、风景名胜区等环境敏感区以及</w:t>
            </w:r>
            <w:r>
              <w:rPr>
                <w:rFonts w:hint="eastAsia" w:ascii="仿宋" w:hAnsi="仿宋" w:eastAsia="仿宋" w:cs="仿宋"/>
                <w:spacing w:val="-2"/>
                <w:sz w:val="24"/>
                <w:szCs w:val="24"/>
              </w:rPr>
              <w:t>城镇人群密集区。</w:t>
            </w:r>
          </w:p>
          <w:p w14:paraId="02960D3D">
            <w:pPr>
              <w:pStyle w:val="136"/>
              <w:keepNext w:val="0"/>
              <w:keepLines w:val="0"/>
              <w:pageBreakBefore w:val="0"/>
              <w:widowControl/>
              <w:wordWrap/>
              <w:overflowPunct/>
              <w:topLinePunct w:val="0"/>
              <w:bidi w:val="0"/>
              <w:spacing w:line="360" w:lineRule="auto"/>
              <w:ind w:left="0" w:right="0" w:firstLine="476" w:firstLineChars="200"/>
              <w:rPr>
                <w:rFonts w:hint="eastAsia" w:ascii="仿宋" w:hAnsi="仿宋" w:eastAsia="仿宋" w:cs="仿宋"/>
                <w:sz w:val="24"/>
                <w:szCs w:val="24"/>
              </w:rPr>
            </w:pPr>
            <w:r>
              <w:rPr>
                <w:rFonts w:hint="eastAsia" w:ascii="仿宋" w:hAnsi="仿宋" w:eastAsia="仿宋" w:cs="仿宋"/>
                <w:spacing w:val="-1"/>
                <w:sz w:val="24"/>
                <w:szCs w:val="24"/>
              </w:rPr>
              <w:t>②危险废物的装运应做到定车、定人。定车就是要把装运危</w:t>
            </w:r>
            <w:r>
              <w:rPr>
                <w:rFonts w:hint="eastAsia" w:ascii="仿宋" w:hAnsi="仿宋" w:eastAsia="仿宋" w:cs="仿宋"/>
                <w:spacing w:val="-2"/>
                <w:sz w:val="24"/>
                <w:szCs w:val="24"/>
              </w:rPr>
              <w:t>险品的车辆、工具相对固定，</w:t>
            </w:r>
            <w:r>
              <w:rPr>
                <w:rFonts w:hint="eastAsia" w:ascii="仿宋" w:hAnsi="仿宋" w:eastAsia="仿宋" w:cs="仿宋"/>
                <w:spacing w:val="-1"/>
                <w:sz w:val="24"/>
                <w:szCs w:val="24"/>
              </w:rPr>
              <w:t>做到专车专用；定人就是把管理、驾驶、押运及装卸等工作的人员加以固定。</w:t>
            </w:r>
          </w:p>
          <w:p w14:paraId="0727EE45">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5）加强贮存过程事故风险防范</w:t>
            </w:r>
          </w:p>
          <w:p w14:paraId="6396180E">
            <w:pPr>
              <w:pStyle w:val="136"/>
              <w:keepNext w:val="0"/>
              <w:keepLines w:val="0"/>
              <w:pageBreakBefore w:val="0"/>
              <w:widowControl/>
              <w:wordWrap/>
              <w:overflowPunct/>
              <w:topLinePunct w:val="0"/>
              <w:bidi w:val="0"/>
              <w:spacing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①各类原料均不得露天堆放，应储存于室内阴凉通风处；</w:t>
            </w:r>
            <w:r>
              <w:rPr>
                <w:rFonts w:hint="eastAsia" w:ascii="仿宋" w:hAnsi="仿宋" w:eastAsia="仿宋" w:cs="仿宋"/>
                <w:sz w:val="24"/>
                <w:szCs w:val="24"/>
                <w:lang w:val="en-US" w:eastAsia="zh-CN"/>
              </w:rPr>
              <w:t>原料库</w:t>
            </w:r>
            <w:r>
              <w:rPr>
                <w:rFonts w:hint="eastAsia" w:ascii="仿宋" w:hAnsi="仿宋" w:eastAsia="仿宋" w:cs="仿宋"/>
                <w:spacing w:val="-1"/>
                <w:sz w:val="24"/>
                <w:szCs w:val="24"/>
              </w:rPr>
              <w:t>禁用明火。</w:t>
            </w:r>
          </w:p>
          <w:p w14:paraId="3B60D670">
            <w:pPr>
              <w:pStyle w:val="136"/>
              <w:keepNext w:val="0"/>
              <w:keepLines w:val="0"/>
              <w:pageBreakBefore w:val="0"/>
              <w:widowControl/>
              <w:wordWrap/>
              <w:overflowPunct/>
              <w:topLinePunct w:val="0"/>
              <w:bidi w:val="0"/>
              <w:spacing w:line="360" w:lineRule="auto"/>
              <w:ind w:left="0" w:right="0" w:firstLine="476" w:firstLineChars="200"/>
              <w:rPr>
                <w:rFonts w:hint="eastAsia" w:ascii="仿宋" w:hAnsi="仿宋" w:eastAsia="仿宋" w:cs="仿宋"/>
                <w:sz w:val="24"/>
                <w:szCs w:val="24"/>
              </w:rPr>
            </w:pPr>
            <w:r>
              <w:rPr>
                <w:rFonts w:hint="eastAsia" w:ascii="仿宋" w:hAnsi="仿宋" w:eastAsia="仿宋" w:cs="仿宋"/>
                <w:spacing w:val="-1"/>
                <w:sz w:val="24"/>
                <w:szCs w:val="24"/>
              </w:rPr>
              <w:t>②在危废暂存间</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污泥暂存区</w:t>
            </w:r>
            <w:r>
              <w:rPr>
                <w:rFonts w:hint="eastAsia" w:ascii="仿宋" w:hAnsi="仿宋" w:eastAsia="仿宋" w:cs="仿宋"/>
                <w:spacing w:val="-1"/>
                <w:sz w:val="24"/>
                <w:szCs w:val="24"/>
              </w:rPr>
              <w:t>四周设置围堰、导水沟及废液收集池；</w:t>
            </w:r>
          </w:p>
          <w:p w14:paraId="243B32D5">
            <w:pPr>
              <w:pStyle w:val="136"/>
              <w:keepNext w:val="0"/>
              <w:keepLines w:val="0"/>
              <w:pageBreakBefore w:val="0"/>
              <w:widowControl/>
              <w:wordWrap/>
              <w:overflowPunct/>
              <w:topLinePunct w:val="0"/>
              <w:bidi w:val="0"/>
              <w:spacing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③在雨水排放口附近安装切断阀，当发生事故时</w:t>
            </w:r>
            <w:r>
              <w:rPr>
                <w:rFonts w:hint="eastAsia" w:ascii="仿宋" w:hAnsi="仿宋" w:eastAsia="仿宋" w:cs="仿宋"/>
                <w:spacing w:val="-1"/>
                <w:sz w:val="24"/>
                <w:szCs w:val="24"/>
              </w:rPr>
              <w:t>可通过切断阀防止污染物进入地表水。</w:t>
            </w:r>
          </w:p>
          <w:p w14:paraId="1226593F">
            <w:pPr>
              <w:pStyle w:val="136"/>
              <w:keepNext w:val="0"/>
              <w:keepLines w:val="0"/>
              <w:pageBreakBefore w:val="0"/>
              <w:widowControl/>
              <w:wordWrap/>
              <w:overflowPunct/>
              <w:topLinePunct w:val="0"/>
              <w:bidi w:val="0"/>
              <w:spacing w:line="360" w:lineRule="auto"/>
              <w:ind w:left="0" w:right="0" w:firstLine="474" w:firstLineChars="200"/>
              <w:rPr>
                <w:rFonts w:hint="eastAsia" w:ascii="仿宋" w:hAnsi="仿宋" w:eastAsia="仿宋" w:cs="仿宋"/>
                <w:sz w:val="24"/>
                <w:szCs w:val="24"/>
              </w:rPr>
            </w:pPr>
            <w:r>
              <w:rPr>
                <w:rFonts w:hint="eastAsia" w:ascii="仿宋" w:hAnsi="仿宋" w:eastAsia="仿宋" w:cs="仿宋"/>
                <w:b/>
                <w:bCs/>
                <w:spacing w:val="-2"/>
                <w:sz w:val="24"/>
                <w:szCs w:val="24"/>
              </w:rPr>
              <w:t>6）应急预案要求</w:t>
            </w:r>
          </w:p>
          <w:p w14:paraId="3EDB1930">
            <w:pPr>
              <w:pStyle w:val="2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仿宋" w:hAnsi="仿宋" w:eastAsia="仿宋" w:cs="仿宋"/>
                <w:b/>
                <w:bCs/>
                <w:spacing w:val="-1"/>
                <w:sz w:val="24"/>
                <w:szCs w:val="24"/>
              </w:rPr>
            </w:pPr>
            <w:r>
              <w:rPr>
                <w:rFonts w:hint="eastAsia" w:ascii="仿宋" w:hAnsi="仿宋" w:eastAsia="仿宋" w:cs="仿宋"/>
                <w:kern w:val="2"/>
                <w:sz w:val="24"/>
                <w:szCs w:val="24"/>
                <w:lang w:val="en-US" w:eastAsia="en-US" w:bidi="ar-SA"/>
              </w:rPr>
              <w:t>根据《建设项目环境风险评价技术导则》（HJ169-2018）及《企业事业单位突发环境事件应急预案备案管理办法（试行）》（环发[2015]4号），“可能发生突发环境事件的污染物排放企业，生产、储存、运输、使用危险化学品的企业，产生、收集、贮存、运输、利用、处置危险废物的企业”，应制定环境应急预案并报相关部门备案，企业应根据应急预案的要求抓好落实、定期演练并适时修订。因此，本环评要求企业在项目建成运营前，编制突发环境事件应急预案并报当地主管部门备案，根据应急预案要求，配备相应的应急物资，并定期开展演练和培训。</w:t>
            </w:r>
          </w:p>
        </w:tc>
      </w:tr>
    </w:tbl>
    <w:p w14:paraId="5D53A688">
      <w:pPr>
        <w:pStyle w:val="28"/>
        <w:spacing w:before="0" w:beforeAutospacing="0" w:after="0" w:afterAutospacing="0"/>
        <w:jc w:val="both"/>
        <w:outlineLvl w:val="0"/>
        <w:rPr>
          <w:rFonts w:hint="eastAsia" w:ascii="仿宋" w:hAnsi="仿宋" w:eastAsia="仿宋" w:cs="仿宋"/>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360F955">
      <w:pPr>
        <w:pStyle w:val="28"/>
        <w:spacing w:before="0" w:beforeAutospacing="0" w:after="0" w:afterAutospacing="0"/>
        <w:jc w:val="center"/>
        <w:outlineLvl w:val="0"/>
        <w:rPr>
          <w:rFonts w:hint="eastAsia" w:ascii="仿宋" w:hAnsi="仿宋" w:eastAsia="仿宋" w:cs="仿宋"/>
          <w:b/>
          <w:bCs/>
          <w:snapToGrid w:val="0"/>
          <w:color w:val="auto"/>
          <w:sz w:val="30"/>
          <w:szCs w:val="30"/>
        </w:rPr>
      </w:pPr>
      <w:r>
        <w:rPr>
          <w:rFonts w:hint="eastAsia" w:ascii="仿宋" w:hAnsi="仿宋" w:eastAsia="仿宋" w:cs="仿宋"/>
          <w:b/>
          <w:bCs/>
          <w:snapToGrid w:val="0"/>
          <w:color w:val="auto"/>
          <w:sz w:val="30"/>
          <w:szCs w:val="30"/>
        </w:rPr>
        <w:t>五、</w:t>
      </w:r>
      <w:bookmarkStart w:id="3" w:name="_Hlk54167917"/>
      <w:r>
        <w:rPr>
          <w:rFonts w:hint="eastAsia" w:ascii="仿宋" w:hAnsi="仿宋" w:eastAsia="仿宋" w:cs="仿宋"/>
          <w:b/>
          <w:bCs/>
          <w:snapToGrid w:val="0"/>
          <w:color w:val="auto"/>
          <w:sz w:val="30"/>
          <w:szCs w:val="30"/>
        </w:rPr>
        <w:t>环境保护措施监督检查清单</w:t>
      </w:r>
      <w:bookmarkEnd w:id="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620"/>
        <w:gridCol w:w="1274"/>
        <w:gridCol w:w="2355"/>
        <w:gridCol w:w="2590"/>
      </w:tblGrid>
      <w:tr w14:paraId="11EF7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0" w:type="dxa"/>
            <w:tcBorders>
              <w:tl2br w:val="single" w:color="auto" w:sz="4" w:space="0"/>
            </w:tcBorders>
            <w:vAlign w:val="center"/>
          </w:tcPr>
          <w:p w14:paraId="2A62504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内容要素</w:t>
            </w:r>
          </w:p>
        </w:tc>
        <w:tc>
          <w:tcPr>
            <w:tcW w:w="1620" w:type="dxa"/>
            <w:vAlign w:val="center"/>
          </w:tcPr>
          <w:p w14:paraId="52F1519A">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排放口(编号、名称)/污染源</w:t>
            </w:r>
          </w:p>
        </w:tc>
        <w:tc>
          <w:tcPr>
            <w:tcW w:w="1274" w:type="dxa"/>
            <w:vAlign w:val="center"/>
          </w:tcPr>
          <w:p w14:paraId="02895EA8">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污染物项目</w:t>
            </w:r>
          </w:p>
        </w:tc>
        <w:tc>
          <w:tcPr>
            <w:tcW w:w="2355" w:type="dxa"/>
            <w:vAlign w:val="center"/>
          </w:tcPr>
          <w:p w14:paraId="1DAE4660">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环境保护措施</w:t>
            </w:r>
          </w:p>
        </w:tc>
        <w:tc>
          <w:tcPr>
            <w:tcW w:w="2590" w:type="dxa"/>
            <w:vAlign w:val="center"/>
          </w:tcPr>
          <w:p w14:paraId="15943D41">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执行标准</w:t>
            </w:r>
          </w:p>
        </w:tc>
      </w:tr>
      <w:tr w14:paraId="4CDBF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990" w:type="dxa"/>
            <w:vMerge w:val="restart"/>
            <w:vAlign w:val="center"/>
          </w:tcPr>
          <w:p w14:paraId="4B43CAF8">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大气环境</w:t>
            </w:r>
          </w:p>
        </w:tc>
        <w:tc>
          <w:tcPr>
            <w:tcW w:w="1620" w:type="dxa"/>
            <w:vAlign w:val="center"/>
          </w:tcPr>
          <w:p w14:paraId="5AECFD6D">
            <w:pPr>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DA001</w:t>
            </w:r>
          </w:p>
        </w:tc>
        <w:tc>
          <w:tcPr>
            <w:tcW w:w="1274" w:type="dxa"/>
            <w:vAlign w:val="center"/>
          </w:tcPr>
          <w:p w14:paraId="30F207AD">
            <w:pPr>
              <w:keepNext w:val="0"/>
              <w:keepLines w:val="0"/>
              <w:pageBreakBefore w:val="0"/>
              <w:kinsoku/>
              <w:wordWrap/>
              <w:overflowPunct/>
              <w:topLinePunct w:val="0"/>
              <w:autoSpaceDE/>
              <w:autoSpaceDN/>
              <w:bidi w:val="0"/>
              <w:snapToGrid/>
              <w:spacing w:line="240" w:lineRule="auto"/>
              <w:ind w:left="0" w:leftChars="0" w:right="0" w:rightChars="0" w:firstLine="0" w:firstLineChars="0"/>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snapToGrid w:val="0"/>
                <w:color w:val="auto"/>
                <w:kern w:val="21"/>
                <w:sz w:val="24"/>
                <w:szCs w:val="24"/>
                <w:highlight w:val="none"/>
                <w:lang w:val="en-US" w:eastAsia="zh-CN"/>
              </w:rPr>
              <w:t>颗粒物</w:t>
            </w:r>
          </w:p>
        </w:tc>
        <w:tc>
          <w:tcPr>
            <w:tcW w:w="2355" w:type="dxa"/>
            <w:vAlign w:val="center"/>
          </w:tcPr>
          <w:p w14:paraId="5E940F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加料废气、筛分破碎废气经集气罩收集至布袋除尘器处理，最终通过1根15m高排气筒排放（DA001）</w:t>
            </w:r>
          </w:p>
        </w:tc>
        <w:tc>
          <w:tcPr>
            <w:tcW w:w="2590" w:type="dxa"/>
            <w:vAlign w:val="center"/>
          </w:tcPr>
          <w:p w14:paraId="0452ED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rPr>
              <w:t>《大气污染物综合排放标准》（GB16297-1996）</w:t>
            </w:r>
          </w:p>
        </w:tc>
      </w:tr>
      <w:tr w14:paraId="2CDED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990" w:type="dxa"/>
            <w:vMerge w:val="continue"/>
            <w:vAlign w:val="center"/>
          </w:tcPr>
          <w:p w14:paraId="6369578F">
            <w:pPr>
              <w:adjustRightInd w:val="0"/>
              <w:snapToGrid w:val="0"/>
              <w:jc w:val="center"/>
              <w:rPr>
                <w:rFonts w:hint="eastAsia" w:ascii="仿宋" w:hAnsi="仿宋" w:eastAsia="仿宋" w:cs="仿宋"/>
                <w:color w:val="auto"/>
                <w:sz w:val="24"/>
                <w:szCs w:val="24"/>
              </w:rPr>
            </w:pPr>
          </w:p>
        </w:tc>
        <w:tc>
          <w:tcPr>
            <w:tcW w:w="1620" w:type="dxa"/>
            <w:vAlign w:val="center"/>
          </w:tcPr>
          <w:p w14:paraId="67E508D6">
            <w:pPr>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DA002</w:t>
            </w:r>
          </w:p>
        </w:tc>
        <w:tc>
          <w:tcPr>
            <w:tcW w:w="1274" w:type="dxa"/>
            <w:vAlign w:val="center"/>
          </w:tcPr>
          <w:p w14:paraId="129D190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硫化氢、氨、臭气浓度</w:t>
            </w:r>
          </w:p>
        </w:tc>
        <w:tc>
          <w:tcPr>
            <w:tcW w:w="2355" w:type="dxa"/>
            <w:vAlign w:val="center"/>
          </w:tcPr>
          <w:p w14:paraId="5C3DFE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snapToGrid w:val="0"/>
                <w:color w:val="auto"/>
                <w:kern w:val="0"/>
                <w:sz w:val="24"/>
                <w:szCs w:val="24"/>
                <w:highlight w:val="none"/>
                <w:lang w:val="en-US" w:eastAsia="zh-CN"/>
              </w:rPr>
              <w:t>发酵废气、污泥暂存废气密闭收集至生物除臭塔处理，</w:t>
            </w:r>
            <w:r>
              <w:rPr>
                <w:rFonts w:hint="eastAsia" w:ascii="仿宋" w:hAnsi="仿宋" w:eastAsia="仿宋" w:cs="仿宋"/>
                <w:bCs/>
                <w:color w:val="auto"/>
                <w:sz w:val="24"/>
                <w:szCs w:val="24"/>
                <w:lang w:val="en-US" w:eastAsia="zh-CN"/>
              </w:rPr>
              <w:t>处理后经15m高排气筒（DA002）排放。</w:t>
            </w:r>
          </w:p>
        </w:tc>
        <w:tc>
          <w:tcPr>
            <w:tcW w:w="2590" w:type="dxa"/>
            <w:vAlign w:val="center"/>
          </w:tcPr>
          <w:p w14:paraId="2466F2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lang w:val="en-US" w:eastAsia="zh-CN"/>
              </w:rPr>
            </w:pPr>
            <w:r>
              <w:rPr>
                <w:rFonts w:hint="eastAsia" w:ascii="仿宋" w:hAnsi="仿宋" w:eastAsia="仿宋" w:cs="仿宋"/>
                <w:color w:val="auto"/>
                <w:spacing w:val="0"/>
                <w:sz w:val="24"/>
                <w:szCs w:val="24"/>
                <w:highlight w:val="none"/>
                <w:lang w:val="zh-CN" w:eastAsia="zh-CN"/>
              </w:rPr>
              <w:t>《恶臭污染物排放标准》（GB14554-93）</w:t>
            </w:r>
          </w:p>
        </w:tc>
      </w:tr>
      <w:tr w14:paraId="25258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990" w:type="dxa"/>
            <w:vMerge w:val="restart"/>
            <w:vAlign w:val="center"/>
          </w:tcPr>
          <w:p w14:paraId="304B5993">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地表</w:t>
            </w:r>
          </w:p>
          <w:p w14:paraId="45E63168">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水环境</w:t>
            </w:r>
          </w:p>
        </w:tc>
        <w:tc>
          <w:tcPr>
            <w:tcW w:w="1620" w:type="dxa"/>
            <w:vAlign w:val="center"/>
          </w:tcPr>
          <w:p w14:paraId="7E55F817">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洗车废水、喷淋废水</w:t>
            </w:r>
          </w:p>
        </w:tc>
        <w:tc>
          <w:tcPr>
            <w:tcW w:w="1274" w:type="dxa"/>
            <w:vAlign w:val="center"/>
          </w:tcPr>
          <w:p w14:paraId="2D2E7117">
            <w:pPr>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SS、氨氮、总磷以及COD</w:t>
            </w:r>
          </w:p>
        </w:tc>
        <w:tc>
          <w:tcPr>
            <w:tcW w:w="2355" w:type="dxa"/>
            <w:vAlign w:val="center"/>
          </w:tcPr>
          <w:p w14:paraId="5C9D0E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回用于生产、不外排</w:t>
            </w:r>
          </w:p>
        </w:tc>
        <w:tc>
          <w:tcPr>
            <w:tcW w:w="2590" w:type="dxa"/>
            <w:vAlign w:val="center"/>
          </w:tcPr>
          <w:p w14:paraId="35D223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sz w:val="24"/>
                <w:szCs w:val="24"/>
                <w:highlight w:val="none"/>
                <w:lang w:val="en-US" w:eastAsia="zh-CN"/>
              </w:rPr>
              <w:t>/</w:t>
            </w:r>
          </w:p>
        </w:tc>
      </w:tr>
      <w:tr w14:paraId="32C2B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90" w:type="dxa"/>
            <w:vMerge w:val="continue"/>
            <w:vAlign w:val="center"/>
          </w:tcPr>
          <w:p w14:paraId="07A1ED58">
            <w:pPr>
              <w:adjustRightInd w:val="0"/>
              <w:snapToGrid w:val="0"/>
              <w:jc w:val="center"/>
              <w:rPr>
                <w:rFonts w:hint="eastAsia" w:ascii="仿宋" w:hAnsi="仿宋" w:eastAsia="仿宋" w:cs="仿宋"/>
                <w:color w:val="auto"/>
                <w:sz w:val="24"/>
                <w:szCs w:val="24"/>
              </w:rPr>
            </w:pPr>
          </w:p>
        </w:tc>
        <w:tc>
          <w:tcPr>
            <w:tcW w:w="1620" w:type="dxa"/>
            <w:vAlign w:val="center"/>
          </w:tcPr>
          <w:p w14:paraId="1BA5ADBC">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生活污水</w:t>
            </w:r>
          </w:p>
        </w:tc>
        <w:tc>
          <w:tcPr>
            <w:tcW w:w="1274" w:type="dxa"/>
            <w:vAlign w:val="center"/>
          </w:tcPr>
          <w:p w14:paraId="0D84AF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pacing w:val="0"/>
                <w:sz w:val="24"/>
                <w:szCs w:val="24"/>
                <w:highlight w:val="none"/>
                <w:lang w:val="en-US" w:eastAsia="zh-CN"/>
              </w:rPr>
              <w:t>COD、BOD</w:t>
            </w:r>
            <w:r>
              <w:rPr>
                <w:rFonts w:hint="eastAsia" w:ascii="仿宋" w:hAnsi="仿宋" w:eastAsia="仿宋" w:cs="仿宋"/>
                <w:color w:val="auto"/>
                <w:spacing w:val="0"/>
                <w:sz w:val="24"/>
                <w:szCs w:val="24"/>
                <w:highlight w:val="none"/>
                <w:vertAlign w:val="subscript"/>
                <w:lang w:val="en-US" w:eastAsia="zh-CN"/>
              </w:rPr>
              <w:t>5</w:t>
            </w:r>
            <w:r>
              <w:rPr>
                <w:rFonts w:hint="eastAsia" w:ascii="仿宋" w:hAnsi="仿宋" w:eastAsia="仿宋" w:cs="仿宋"/>
                <w:color w:val="auto"/>
                <w:spacing w:val="0"/>
                <w:sz w:val="24"/>
                <w:szCs w:val="24"/>
                <w:highlight w:val="none"/>
                <w:lang w:val="en-US" w:eastAsia="zh-CN"/>
              </w:rPr>
              <w:t>、SS、氨氮、总磷</w:t>
            </w:r>
          </w:p>
        </w:tc>
        <w:tc>
          <w:tcPr>
            <w:tcW w:w="2355" w:type="dxa"/>
            <w:vAlign w:val="center"/>
          </w:tcPr>
          <w:p w14:paraId="1D2329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rPr>
              <w:t>经化粪池后排入园区管网，接入</w:t>
            </w:r>
            <w:r>
              <w:rPr>
                <w:rFonts w:hint="eastAsia" w:ascii="仿宋" w:hAnsi="仿宋" w:eastAsia="仿宋" w:cs="仿宋"/>
                <w:color w:val="auto"/>
                <w:sz w:val="24"/>
                <w:szCs w:val="24"/>
                <w:lang w:val="en-US" w:eastAsia="zh-CN"/>
              </w:rPr>
              <w:t>上窑工业聚集区污水处理厂深度处理，最终排入窑河。</w:t>
            </w:r>
          </w:p>
        </w:tc>
        <w:tc>
          <w:tcPr>
            <w:tcW w:w="2590" w:type="dxa"/>
            <w:vAlign w:val="center"/>
          </w:tcPr>
          <w:p w14:paraId="1446F3A1">
            <w:pPr>
              <w:adjustRightInd w:val="0"/>
              <w:snapToGrid w:val="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上窑工业聚集区污水处理厂接管标准</w:t>
            </w:r>
          </w:p>
        </w:tc>
      </w:tr>
      <w:tr w14:paraId="3D8EC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0" w:type="dxa"/>
            <w:vAlign w:val="center"/>
          </w:tcPr>
          <w:p w14:paraId="30AA07B1">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声环境</w:t>
            </w:r>
          </w:p>
        </w:tc>
        <w:tc>
          <w:tcPr>
            <w:tcW w:w="1620" w:type="dxa"/>
            <w:vAlign w:val="center"/>
          </w:tcPr>
          <w:p w14:paraId="62F487DD">
            <w:pPr>
              <w:pStyle w:val="94"/>
              <w:spacing w:before="104" w:line="240" w:lineRule="auto"/>
              <w:ind w:left="135" w:right="131"/>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生产及辅助设备</w:t>
            </w:r>
          </w:p>
        </w:tc>
        <w:tc>
          <w:tcPr>
            <w:tcW w:w="1274" w:type="dxa"/>
            <w:vAlign w:val="center"/>
          </w:tcPr>
          <w:p w14:paraId="030D8ECF">
            <w:pPr>
              <w:pStyle w:val="94"/>
              <w:spacing w:line="240" w:lineRule="auto"/>
              <w:ind w:left="9"/>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eastAsia="zh-CN"/>
              </w:rPr>
              <w:t>等效 A 声级</w:t>
            </w:r>
          </w:p>
        </w:tc>
        <w:tc>
          <w:tcPr>
            <w:tcW w:w="2355" w:type="dxa"/>
            <w:vAlign w:val="center"/>
          </w:tcPr>
          <w:p w14:paraId="65AEC703">
            <w:pPr>
              <w:pStyle w:val="94"/>
              <w:keepNext w:val="0"/>
              <w:keepLines w:val="0"/>
              <w:pageBreakBefore w:val="0"/>
              <w:widowControl w:val="0"/>
              <w:kinsoku/>
              <w:wordWrap/>
              <w:overflowPunct/>
              <w:topLinePunct w:val="0"/>
              <w:autoSpaceDE/>
              <w:autoSpaceDN/>
              <w:bidi w:val="0"/>
              <w:spacing w:line="235" w:lineRule="auto"/>
              <w:ind w:left="-63" w:leftChars="-30" w:right="-63" w:rightChars="-3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选用低噪声设备，噪声源设置在车间内，合理布局，车间厂房隔声及距离衰减</w:t>
            </w:r>
          </w:p>
        </w:tc>
        <w:tc>
          <w:tcPr>
            <w:tcW w:w="2590" w:type="dxa"/>
            <w:vAlign w:val="center"/>
          </w:tcPr>
          <w:p w14:paraId="1598F4D4">
            <w:pPr>
              <w:pStyle w:val="94"/>
              <w:spacing w:line="238" w:lineRule="exact"/>
              <w:ind w:left="9"/>
              <w:jc w:val="center"/>
              <w:rPr>
                <w:rFonts w:hint="eastAsia" w:ascii="仿宋" w:hAnsi="仿宋" w:eastAsia="仿宋" w:cs="仿宋"/>
                <w:color w:val="auto"/>
                <w:kern w:val="2"/>
                <w:sz w:val="24"/>
                <w:szCs w:val="24"/>
                <w:lang w:eastAsia="zh-CN"/>
              </w:rPr>
            </w:pPr>
            <w:r>
              <w:rPr>
                <w:rFonts w:hint="eastAsia" w:ascii="仿宋" w:hAnsi="仿宋" w:eastAsia="仿宋" w:cs="仿宋"/>
                <w:color w:val="auto"/>
                <w:spacing w:val="-2"/>
                <w:sz w:val="24"/>
                <w:szCs w:val="24"/>
                <w:lang w:eastAsia="zh-CN"/>
              </w:rPr>
              <w:t>《</w:t>
            </w:r>
            <w:r>
              <w:rPr>
                <w:rFonts w:hint="eastAsia" w:ascii="仿宋" w:hAnsi="仿宋" w:eastAsia="仿宋" w:cs="仿宋"/>
                <w:color w:val="auto"/>
                <w:kern w:val="2"/>
                <w:sz w:val="24"/>
                <w:szCs w:val="24"/>
                <w:lang w:eastAsia="zh-CN"/>
              </w:rPr>
              <w:t>工业企业厂界环境噪声排放标准》（GB12348-2008）</w:t>
            </w:r>
          </w:p>
          <w:p w14:paraId="602EC677">
            <w:pPr>
              <w:pStyle w:val="94"/>
              <w:spacing w:line="281" w:lineRule="exact"/>
              <w:ind w:left="7"/>
              <w:jc w:val="center"/>
              <w:rPr>
                <w:rFonts w:hint="eastAsia" w:ascii="仿宋" w:hAnsi="仿宋" w:eastAsia="仿宋" w:cs="仿宋"/>
                <w:color w:val="auto"/>
                <w:sz w:val="24"/>
                <w:szCs w:val="24"/>
                <w:lang w:eastAsia="zh-CN"/>
              </w:rPr>
            </w:pPr>
            <w:r>
              <w:rPr>
                <w:rFonts w:hint="eastAsia" w:ascii="仿宋" w:hAnsi="仿宋" w:eastAsia="仿宋" w:cs="仿宋"/>
                <w:color w:val="auto"/>
                <w:kern w:val="2"/>
                <w:sz w:val="24"/>
                <w:szCs w:val="24"/>
                <w:lang w:eastAsia="zh-CN"/>
              </w:rPr>
              <w:t>中的</w:t>
            </w:r>
            <w:r>
              <w:rPr>
                <w:rFonts w:hint="eastAsia" w:ascii="仿宋" w:hAnsi="仿宋" w:eastAsia="仿宋" w:cs="仿宋"/>
                <w:color w:val="auto"/>
                <w:kern w:val="2"/>
                <w:sz w:val="24"/>
                <w:szCs w:val="24"/>
                <w:lang w:val="en-US" w:eastAsia="zh-CN"/>
              </w:rPr>
              <w:t>3类</w:t>
            </w:r>
            <w:r>
              <w:rPr>
                <w:rFonts w:hint="eastAsia" w:ascii="仿宋" w:hAnsi="仿宋" w:eastAsia="仿宋" w:cs="仿宋"/>
                <w:color w:val="auto"/>
                <w:kern w:val="2"/>
                <w:sz w:val="24"/>
                <w:szCs w:val="24"/>
                <w:lang w:eastAsia="zh-CN"/>
              </w:rPr>
              <w:t>标准</w:t>
            </w:r>
          </w:p>
        </w:tc>
      </w:tr>
      <w:tr w14:paraId="50844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0" w:type="dxa"/>
            <w:vAlign w:val="center"/>
          </w:tcPr>
          <w:p w14:paraId="50EDEBD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电磁辐射</w:t>
            </w:r>
          </w:p>
        </w:tc>
        <w:tc>
          <w:tcPr>
            <w:tcW w:w="1620" w:type="dxa"/>
            <w:vAlign w:val="center"/>
          </w:tcPr>
          <w:p w14:paraId="4E64F2BE">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274" w:type="dxa"/>
            <w:vAlign w:val="center"/>
          </w:tcPr>
          <w:p w14:paraId="383B6D34">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355" w:type="dxa"/>
            <w:vAlign w:val="center"/>
          </w:tcPr>
          <w:p w14:paraId="66F9A62A">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590" w:type="dxa"/>
            <w:vAlign w:val="center"/>
          </w:tcPr>
          <w:p w14:paraId="61799BBA">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r>
      <w:tr w14:paraId="0EE79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990" w:type="dxa"/>
            <w:vAlign w:val="center"/>
          </w:tcPr>
          <w:p w14:paraId="2684DE3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固体废物</w:t>
            </w:r>
          </w:p>
        </w:tc>
        <w:tc>
          <w:tcPr>
            <w:tcW w:w="7839" w:type="dxa"/>
            <w:gridSpan w:val="4"/>
            <w:vAlign w:val="center"/>
          </w:tcPr>
          <w:p w14:paraId="3F5438A9">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snapToGrid w:val="0"/>
                <w:color w:val="auto"/>
                <w:kern w:val="24"/>
                <w:sz w:val="24"/>
                <w:szCs w:val="24"/>
                <w:lang w:val="en-US" w:eastAsia="zh-CN" w:bidi="ar-SA"/>
              </w:rPr>
              <w:t>废机油、废油桶、废含油抹布及手套</w:t>
            </w:r>
            <w:r>
              <w:rPr>
                <w:rFonts w:hint="eastAsia" w:ascii="仿宋" w:hAnsi="仿宋" w:eastAsia="仿宋" w:cs="仿宋"/>
                <w:color w:val="auto"/>
                <w:kern w:val="0"/>
                <w:sz w:val="24"/>
                <w:szCs w:val="24"/>
                <w:lang w:val="en-US" w:eastAsia="zh-CN"/>
              </w:rPr>
              <w:t>暂存危废仓库，定期交由资质单位处置。</w:t>
            </w:r>
            <w:r>
              <w:rPr>
                <w:rFonts w:hint="eastAsia" w:ascii="仿宋" w:hAnsi="仿宋" w:eastAsia="仿宋" w:cs="仿宋"/>
                <w:snapToGrid w:val="0"/>
                <w:color w:val="auto"/>
                <w:kern w:val="24"/>
                <w:sz w:val="24"/>
                <w:szCs w:val="24"/>
                <w:lang w:val="en-US" w:eastAsia="zh-CN" w:bidi="ar-SA"/>
              </w:rPr>
              <w:t>不可降解物、废布袋、一般废包装物</w:t>
            </w:r>
            <w:r>
              <w:rPr>
                <w:rFonts w:hint="eastAsia" w:ascii="仿宋" w:hAnsi="仿宋" w:eastAsia="仿宋" w:cs="仿宋"/>
                <w:color w:val="auto"/>
                <w:kern w:val="0"/>
                <w:sz w:val="24"/>
                <w:szCs w:val="24"/>
                <w:lang w:val="en-US" w:eastAsia="zh-CN"/>
              </w:rPr>
              <w:t>收集后外售，</w:t>
            </w:r>
            <w:r>
              <w:rPr>
                <w:rFonts w:hint="eastAsia" w:ascii="仿宋" w:hAnsi="仿宋" w:eastAsia="仿宋" w:cs="仿宋"/>
                <w:snapToGrid w:val="0"/>
                <w:color w:val="auto"/>
                <w:kern w:val="24"/>
                <w:sz w:val="24"/>
                <w:szCs w:val="24"/>
                <w:lang w:val="en-US" w:eastAsia="zh-CN" w:bidi="ar-SA"/>
              </w:rPr>
              <w:t>生活垃圾交由环卫部门清运处理</w:t>
            </w:r>
            <w:r>
              <w:rPr>
                <w:rFonts w:hint="eastAsia" w:ascii="仿宋" w:hAnsi="仿宋" w:eastAsia="仿宋" w:cs="仿宋"/>
                <w:color w:val="auto"/>
                <w:kern w:val="0"/>
                <w:sz w:val="24"/>
                <w:szCs w:val="24"/>
                <w:lang w:val="en-US" w:eastAsia="zh-CN"/>
              </w:rPr>
              <w:t>。</w:t>
            </w:r>
          </w:p>
        </w:tc>
      </w:tr>
      <w:tr w14:paraId="65306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Align w:val="center"/>
          </w:tcPr>
          <w:p w14:paraId="50EB957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土壤及地下水污染防治措施</w:t>
            </w:r>
          </w:p>
        </w:tc>
        <w:tc>
          <w:tcPr>
            <w:tcW w:w="7839" w:type="dxa"/>
            <w:gridSpan w:val="4"/>
            <w:vAlign w:val="center"/>
          </w:tcPr>
          <w:p w14:paraId="3BAA50C6">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pacing w:val="0"/>
                <w:kern w:val="0"/>
                <w:sz w:val="24"/>
                <w:szCs w:val="24"/>
                <w:lang w:eastAsia="zh-CN"/>
              </w:rPr>
              <w:t>危废仓库、</w:t>
            </w:r>
            <w:r>
              <w:rPr>
                <w:rFonts w:hint="eastAsia" w:ascii="仿宋" w:hAnsi="仿宋" w:eastAsia="仿宋" w:cs="仿宋"/>
                <w:color w:val="auto"/>
                <w:spacing w:val="0"/>
                <w:kern w:val="0"/>
                <w:sz w:val="24"/>
                <w:szCs w:val="24"/>
                <w:lang w:val="en-US" w:eastAsia="zh-CN"/>
              </w:rPr>
              <w:t>沉淀池、污泥暂存区采取重点防渗措施</w:t>
            </w:r>
            <w:r>
              <w:rPr>
                <w:rFonts w:hint="eastAsia" w:ascii="仿宋" w:hAnsi="仿宋" w:eastAsia="仿宋" w:cs="仿宋"/>
                <w:sz w:val="24"/>
                <w:lang w:eastAsia="zh-CN"/>
              </w:rPr>
              <w:t>。</w:t>
            </w:r>
          </w:p>
        </w:tc>
      </w:tr>
      <w:tr w14:paraId="0468F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0" w:type="dxa"/>
            <w:vAlign w:val="center"/>
          </w:tcPr>
          <w:p w14:paraId="5C6F16E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生态保护措施</w:t>
            </w:r>
          </w:p>
        </w:tc>
        <w:tc>
          <w:tcPr>
            <w:tcW w:w="7839" w:type="dxa"/>
            <w:gridSpan w:val="4"/>
            <w:vAlign w:val="center"/>
          </w:tcPr>
          <w:p w14:paraId="642A46C9">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不涉及</w:t>
            </w:r>
          </w:p>
        </w:tc>
      </w:tr>
      <w:tr w14:paraId="3791A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0" w:type="dxa"/>
            <w:vAlign w:val="center"/>
          </w:tcPr>
          <w:p w14:paraId="47EEFC8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环境风险防范措施</w:t>
            </w:r>
          </w:p>
        </w:tc>
        <w:tc>
          <w:tcPr>
            <w:tcW w:w="7839" w:type="dxa"/>
            <w:gridSpan w:val="4"/>
            <w:vAlign w:val="center"/>
          </w:tcPr>
          <w:p w14:paraId="4FF17267">
            <w:pPr>
              <w:keepNext w:val="0"/>
              <w:keepLines w:val="0"/>
              <w:pageBreakBefore w:val="0"/>
              <w:widowControl w:val="0"/>
              <w:kinsoku/>
              <w:wordWrap/>
              <w:overflowPunct/>
              <w:topLinePunct w:val="0"/>
              <w:autoSpaceDE/>
              <w:autoSpaceDN/>
              <w:bidi w:val="0"/>
              <w:adjustRightInd/>
              <w:snapToGrid w:val="0"/>
              <w:spacing w:line="440" w:lineRule="exact"/>
              <w:ind w:firstLine="424" w:firstLineChars="177"/>
              <w:textAlignment w:val="auto"/>
              <w:rPr>
                <w:rFonts w:hint="eastAsia" w:ascii="仿宋" w:hAnsi="仿宋" w:eastAsia="仿宋" w:cs="仿宋"/>
                <w:snapToGrid w:val="0"/>
                <w:color w:val="auto"/>
                <w:kern w:val="0"/>
                <w:sz w:val="24"/>
                <w:lang w:val="en-US" w:eastAsia="zh-CN"/>
              </w:rPr>
            </w:pPr>
            <w:r>
              <w:rPr>
                <w:rFonts w:hint="eastAsia" w:ascii="仿宋" w:hAnsi="仿宋" w:eastAsia="仿宋" w:cs="仿宋"/>
                <w:snapToGrid w:val="0"/>
                <w:color w:val="000000"/>
                <w:kern w:val="0"/>
                <w:sz w:val="24"/>
                <w:szCs w:val="24"/>
                <w:lang w:val="en-US" w:eastAsia="zh-CN" w:bidi="ar"/>
              </w:rPr>
              <w:t>①强化风险意识、加强安全管理；②加强操作过程安全控制；③加强末端处理设施风险防范；④加强贮运过程风险防范；⑤编制突发环境事故应急预案，定期培训演练。</w:t>
            </w:r>
          </w:p>
        </w:tc>
      </w:tr>
      <w:tr w14:paraId="3AF43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 w:type="dxa"/>
            <w:vAlign w:val="center"/>
          </w:tcPr>
          <w:p w14:paraId="3B4050F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其他环境管理要求</w:t>
            </w:r>
          </w:p>
        </w:tc>
        <w:tc>
          <w:tcPr>
            <w:tcW w:w="7839" w:type="dxa"/>
            <w:gridSpan w:val="4"/>
            <w:vAlign w:val="center"/>
          </w:tcPr>
          <w:p w14:paraId="2D8973A5">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①做好污泥来料控制：1）本项目使用的污泥来源应为无制药、化工、印染、制革和其它涉重金属污染物排放企业的城镇集中式生活污水处理厂产生的污泥，食品加工行业和造纸行业的废水处理设施及其园区集中式污水处理厂产生的污泥，且污泥泥质需符合《城镇污水处理厂污泥处置园林绿化用泥质》（GB/T23486-2009）要求。2）严禁使用属性为危险废物的污泥，严禁使用来自制药、化工、印染、制革等企业的废水处理污泥，同时所收集的污泥中不得混入浮渣、沉渣。3）做好电子转移联单的填写与核验工作。4）委托污泥来源企业和本企业共同认可的第三方有运输资质的企业承担污泥运输工作，加强运输车辆密闭，严禁遗撒泄漏、随意转运、倾倒、违法堆放等污染环境的行为发生。5）严格控制进厂污泥含水率（要求以70%为上限），从源头杜绝或减少渗滤液的产生，防止发生跑冒滴漏现象。6）定期收集污泥来源企业提供的由有资质单位出具的泥质检测报告（要求1次/月），并适时留样送检进行验证，相关检测报告存档备查（存档时间不低于5年）。（具体污染物指标按《城镇污水处理厂污泥处置园林绿化用泥质》（GB/T23486-2009）中的限值要求进行控制，该标准无规定的污染物指标必须低于“危险废物鉴别系列标准”中的限值规定）。7）做好进厂污泥的台账记录（包括但不限于来源企业、进厂时间、数量、车牌、感官等信息），严格杜绝不符合要求的污泥进厂，做好来料质控。8）企业应视实际运行管理情况及当地环保管理要求，适时制定更为严格的污泥来料控制制度，并严格执行。</w:t>
            </w:r>
          </w:p>
          <w:p w14:paraId="28B6B77D">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②申领排污许可证：建设单位须在启动生产设施或者发生实际排污之前，根据《排污许可管理办法（试行）》（环保部令第48号），对照《固定污染源排污许可分类管理名录（2019年版）》（生态环境部令第11号），申领排污许可证并按证排污。</w:t>
            </w:r>
          </w:p>
          <w:p w14:paraId="6D5A5305">
            <w:pPr>
              <w:keepNext w:val="0"/>
              <w:keepLines w:val="0"/>
              <w:pageBreakBefore w:val="0"/>
              <w:widowControl/>
              <w:suppressLineNumbers w:val="0"/>
              <w:wordWrap/>
              <w:overflowPunct/>
              <w:topLinePunct w:val="0"/>
              <w:bidi w:val="0"/>
              <w:spacing w:line="360" w:lineRule="auto"/>
              <w:ind w:firstLine="480" w:firstLineChars="200"/>
              <w:jc w:val="both"/>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③环保设施“三同时”验收：本项目正式投入运行前，须按照《建设项目竣工环境保护验收暂行办法》（国环规环评[2017]4号）、《建设项目竣工环境保护验收技术指南污染影响类》（生态环保部公告2018第9号）、《关于进一步完善建设项目环境保护“三同时”及竣工环境保护自主验收监管工作机制的意见》（环执法[2021]70号）等的规定，对项目涉及的各类环境保护设施进行“三同时”验收。</w:t>
            </w:r>
          </w:p>
          <w:p w14:paraId="24D280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napToGrid w:val="0"/>
                <w:color w:val="000000"/>
                <w:kern w:val="0"/>
                <w:sz w:val="24"/>
                <w:szCs w:val="24"/>
                <w:lang w:val="en-US" w:eastAsia="zh-CN" w:bidi="ar"/>
              </w:rPr>
              <w:t>④根据本环评及有关排污许可证申请与核发技术规范、排污单位自行监测技术指南等制定废气、地下水、土壤、噪声等的自行监测方案，并委托第三方有资质的检测单位定期开展监测。</w:t>
            </w:r>
          </w:p>
          <w:p w14:paraId="204691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⑤环保投资</w:t>
            </w:r>
          </w:p>
          <w:p w14:paraId="2F0CEF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拟建项目工程污染防治措施投资估算详见下表。</w:t>
            </w:r>
          </w:p>
          <w:p w14:paraId="0611EC7C">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val="en-US" w:eastAsia="zh-CN" w:bidi="ar"/>
              </w:rPr>
              <w:t>表5-2 污染防治措施投资表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374"/>
              <w:gridCol w:w="4596"/>
              <w:gridCol w:w="1117"/>
            </w:tblGrid>
            <w:tr w14:paraId="628AE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38C3E1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374" w:type="dxa"/>
                  <w:tcBorders>
                    <w:tl2br w:val="nil"/>
                    <w:tr2bl w:val="nil"/>
                  </w:tcBorders>
                  <w:vAlign w:val="center"/>
                </w:tcPr>
                <w:p w14:paraId="702706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项目名称</w:t>
                  </w:r>
                </w:p>
              </w:tc>
              <w:tc>
                <w:tcPr>
                  <w:tcW w:w="4596" w:type="dxa"/>
                  <w:tcBorders>
                    <w:tl2br w:val="nil"/>
                    <w:tr2bl w:val="nil"/>
                  </w:tcBorders>
                  <w:vAlign w:val="center"/>
                </w:tcPr>
                <w:p w14:paraId="2B47BF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项目内容</w:t>
                  </w:r>
                </w:p>
              </w:tc>
              <w:tc>
                <w:tcPr>
                  <w:tcW w:w="1117" w:type="dxa"/>
                  <w:tcBorders>
                    <w:tl2br w:val="nil"/>
                    <w:tr2bl w:val="nil"/>
                  </w:tcBorders>
                  <w:vAlign w:val="center"/>
                </w:tcPr>
                <w:p w14:paraId="4D2247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投资（万元）</w:t>
                  </w:r>
                </w:p>
              </w:tc>
            </w:tr>
            <w:tr w14:paraId="1D206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273748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1374" w:type="dxa"/>
                  <w:vMerge w:val="restart"/>
                  <w:tcBorders>
                    <w:tl2br w:val="nil"/>
                    <w:tr2bl w:val="nil"/>
                  </w:tcBorders>
                  <w:vAlign w:val="center"/>
                </w:tcPr>
                <w:p w14:paraId="79C805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废气</w:t>
                  </w:r>
                </w:p>
              </w:tc>
              <w:tc>
                <w:tcPr>
                  <w:tcW w:w="4596" w:type="dxa"/>
                  <w:tcBorders>
                    <w:tl2br w:val="nil"/>
                    <w:tr2bl w:val="nil"/>
                  </w:tcBorders>
                  <w:vAlign w:val="center"/>
                </w:tcPr>
                <w:p w14:paraId="0513D9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加料废气、筛分破碎废气经集气罩收集至布袋除尘器处理，最终通过1根15m高排气筒排放（DA001）</w:t>
                  </w:r>
                </w:p>
              </w:tc>
              <w:tc>
                <w:tcPr>
                  <w:tcW w:w="1117" w:type="dxa"/>
                  <w:tcBorders>
                    <w:tl2br w:val="nil"/>
                    <w:tr2bl w:val="nil"/>
                  </w:tcBorders>
                  <w:vAlign w:val="center"/>
                </w:tcPr>
                <w:p w14:paraId="35B938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20</w:t>
                  </w:r>
                </w:p>
              </w:tc>
            </w:tr>
            <w:tr w14:paraId="1506F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36" w:type="dxa"/>
                  <w:tcBorders>
                    <w:tl2br w:val="nil"/>
                    <w:tr2bl w:val="nil"/>
                  </w:tcBorders>
                  <w:vAlign w:val="center"/>
                </w:tcPr>
                <w:p w14:paraId="14AA94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1374" w:type="dxa"/>
                  <w:vMerge w:val="continue"/>
                  <w:tcBorders>
                    <w:tl2br w:val="nil"/>
                    <w:tr2bl w:val="nil"/>
                  </w:tcBorders>
                  <w:vAlign w:val="center"/>
                </w:tcPr>
                <w:p w14:paraId="0BD620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p>
              </w:tc>
              <w:tc>
                <w:tcPr>
                  <w:tcW w:w="4596" w:type="dxa"/>
                  <w:tcBorders>
                    <w:tl2br w:val="nil"/>
                    <w:tr2bl w:val="nil"/>
                  </w:tcBorders>
                  <w:vAlign w:val="center"/>
                </w:tcPr>
                <w:p w14:paraId="6863B8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发酵废气、污泥暂存废气密闭收集至生物除臭塔处理，处理后经15m高排气筒（DA002）排放。</w:t>
                  </w:r>
                </w:p>
              </w:tc>
              <w:tc>
                <w:tcPr>
                  <w:tcW w:w="1117" w:type="dxa"/>
                  <w:tcBorders>
                    <w:tl2br w:val="nil"/>
                    <w:tr2bl w:val="nil"/>
                  </w:tcBorders>
                  <w:vAlign w:val="center"/>
                </w:tcPr>
                <w:p w14:paraId="3968FD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25</w:t>
                  </w:r>
                </w:p>
              </w:tc>
            </w:tr>
            <w:tr w14:paraId="36853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1E3767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3</w:t>
                  </w:r>
                </w:p>
              </w:tc>
              <w:tc>
                <w:tcPr>
                  <w:tcW w:w="1374" w:type="dxa"/>
                  <w:tcBorders>
                    <w:tl2br w:val="nil"/>
                    <w:tr2bl w:val="nil"/>
                  </w:tcBorders>
                  <w:vAlign w:val="center"/>
                </w:tcPr>
                <w:p w14:paraId="7D3505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废水</w:t>
                  </w:r>
                </w:p>
              </w:tc>
              <w:tc>
                <w:tcPr>
                  <w:tcW w:w="4596" w:type="dxa"/>
                  <w:tcBorders>
                    <w:tl2br w:val="nil"/>
                    <w:tr2bl w:val="nil"/>
                  </w:tcBorders>
                  <w:vAlign w:val="center"/>
                </w:tcPr>
                <w:p w14:paraId="0B3A13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生活废水依托厂区已有化粪池后排入园区管网，接入上窑工业聚集区污水处理厂深度处理，最终排入窑河。</w:t>
                  </w:r>
                </w:p>
              </w:tc>
              <w:tc>
                <w:tcPr>
                  <w:tcW w:w="1117" w:type="dxa"/>
                  <w:tcBorders>
                    <w:tl2br w:val="nil"/>
                    <w:tr2bl w:val="nil"/>
                  </w:tcBorders>
                  <w:vAlign w:val="center"/>
                </w:tcPr>
                <w:p w14:paraId="6CDD3B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0</w:t>
                  </w:r>
                </w:p>
              </w:tc>
            </w:tr>
            <w:tr w14:paraId="24CC2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537C10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4</w:t>
                  </w:r>
                </w:p>
              </w:tc>
              <w:tc>
                <w:tcPr>
                  <w:tcW w:w="1374" w:type="dxa"/>
                  <w:tcBorders>
                    <w:tl2br w:val="nil"/>
                    <w:tr2bl w:val="nil"/>
                  </w:tcBorders>
                  <w:vAlign w:val="center"/>
                </w:tcPr>
                <w:p w14:paraId="130398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噪声控制</w:t>
                  </w:r>
                </w:p>
              </w:tc>
              <w:tc>
                <w:tcPr>
                  <w:tcW w:w="4596" w:type="dxa"/>
                  <w:tcBorders>
                    <w:tl2br w:val="nil"/>
                    <w:tr2bl w:val="nil"/>
                  </w:tcBorders>
                  <w:vAlign w:val="center"/>
                </w:tcPr>
                <w:p w14:paraId="241490A7">
                  <w:pPr>
                    <w:keepNext w:val="0"/>
                    <w:keepLines w:val="0"/>
                    <w:widowControl/>
                    <w:suppressLineNumbers w:val="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000000"/>
                      <w:kern w:val="0"/>
                      <w:sz w:val="21"/>
                      <w:szCs w:val="21"/>
                      <w:lang w:val="en-US" w:eastAsia="zh-CN" w:bidi="ar"/>
                    </w:rPr>
                    <w:t>隔声、基础减震</w:t>
                  </w:r>
                </w:p>
              </w:tc>
              <w:tc>
                <w:tcPr>
                  <w:tcW w:w="1117" w:type="dxa"/>
                  <w:tcBorders>
                    <w:tl2br w:val="nil"/>
                    <w:tr2bl w:val="nil"/>
                  </w:tcBorders>
                  <w:vAlign w:val="center"/>
                </w:tcPr>
                <w:p w14:paraId="69F56C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r>
            <w:tr w14:paraId="2EE34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125851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5</w:t>
                  </w:r>
                </w:p>
              </w:tc>
              <w:tc>
                <w:tcPr>
                  <w:tcW w:w="1374" w:type="dxa"/>
                  <w:tcBorders>
                    <w:tl2br w:val="nil"/>
                    <w:tr2bl w:val="nil"/>
                  </w:tcBorders>
                  <w:vAlign w:val="center"/>
                </w:tcPr>
                <w:p w14:paraId="359EB0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固体废物</w:t>
                  </w:r>
                </w:p>
              </w:tc>
              <w:tc>
                <w:tcPr>
                  <w:tcW w:w="4596" w:type="dxa"/>
                  <w:tcBorders>
                    <w:tl2br w:val="nil"/>
                    <w:tr2bl w:val="nil"/>
                  </w:tcBorders>
                  <w:vAlign w:val="center"/>
                </w:tcPr>
                <w:p w14:paraId="7D25E53B">
                  <w:pPr>
                    <w:keepNext w:val="0"/>
                    <w:keepLines w:val="0"/>
                    <w:widowControl/>
                    <w:suppressLineNumbers w:val="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000000"/>
                      <w:kern w:val="0"/>
                      <w:sz w:val="21"/>
                      <w:szCs w:val="21"/>
                      <w:lang w:val="en-US" w:eastAsia="zh-CN" w:bidi="ar"/>
                    </w:rPr>
                    <w:t>垃圾桶、一般固废暂存处、危废仓库</w:t>
                  </w:r>
                </w:p>
              </w:tc>
              <w:tc>
                <w:tcPr>
                  <w:tcW w:w="1117" w:type="dxa"/>
                  <w:tcBorders>
                    <w:tl2br w:val="nil"/>
                    <w:tr2bl w:val="nil"/>
                  </w:tcBorders>
                  <w:vAlign w:val="center"/>
                </w:tcPr>
                <w:p w14:paraId="010372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r>
            <w:tr w14:paraId="4CA96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tcBorders>
                    <w:tl2br w:val="nil"/>
                    <w:tr2bl w:val="nil"/>
                  </w:tcBorders>
                  <w:vAlign w:val="center"/>
                </w:tcPr>
                <w:p w14:paraId="60399C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kern w:val="2"/>
                      <w:sz w:val="21"/>
                      <w:szCs w:val="21"/>
                      <w:highlight w:val="none"/>
                      <w:vertAlign w:val="baseline"/>
                      <w:lang w:val="en-US" w:eastAsia="zh-CN" w:bidi="ar-SA"/>
                    </w:rPr>
                  </w:pPr>
                  <w:r>
                    <w:rPr>
                      <w:rFonts w:hint="eastAsia" w:ascii="仿宋" w:hAnsi="仿宋" w:eastAsia="仿宋" w:cs="仿宋"/>
                      <w:color w:val="auto"/>
                      <w:sz w:val="21"/>
                      <w:szCs w:val="21"/>
                      <w:highlight w:val="none"/>
                      <w:vertAlign w:val="baseline"/>
                      <w:lang w:val="en-US" w:eastAsia="zh-CN"/>
                    </w:rPr>
                    <w:t>6</w:t>
                  </w:r>
                </w:p>
              </w:tc>
              <w:tc>
                <w:tcPr>
                  <w:tcW w:w="1374" w:type="dxa"/>
                  <w:tcBorders>
                    <w:tl2br w:val="nil"/>
                    <w:tr2bl w:val="nil"/>
                  </w:tcBorders>
                  <w:vAlign w:val="center"/>
                </w:tcPr>
                <w:p w14:paraId="1B38C2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土壤、地下水</w:t>
                  </w:r>
                </w:p>
              </w:tc>
              <w:tc>
                <w:tcPr>
                  <w:tcW w:w="4596" w:type="dxa"/>
                  <w:tcBorders>
                    <w:tl2br w:val="nil"/>
                    <w:tr2bl w:val="nil"/>
                  </w:tcBorders>
                  <w:vAlign w:val="center"/>
                </w:tcPr>
                <w:p w14:paraId="07BA33A8">
                  <w:pPr>
                    <w:keepNext w:val="0"/>
                    <w:keepLines w:val="0"/>
                    <w:widowControl/>
                    <w:suppressLineNumbers w:val="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snapToGrid w:val="0"/>
                      <w:color w:val="auto"/>
                      <w:kern w:val="0"/>
                      <w:sz w:val="21"/>
                      <w:szCs w:val="21"/>
                      <w:highlight w:val="none"/>
                      <w:u w:val="none"/>
                      <w:lang w:eastAsia="zh-CN"/>
                    </w:rPr>
                    <w:t>危废仓库、</w:t>
                  </w:r>
                  <w:r>
                    <w:rPr>
                      <w:rFonts w:hint="eastAsia" w:ascii="仿宋" w:hAnsi="仿宋" w:eastAsia="仿宋" w:cs="仿宋"/>
                      <w:snapToGrid w:val="0"/>
                      <w:color w:val="auto"/>
                      <w:kern w:val="0"/>
                      <w:sz w:val="21"/>
                      <w:szCs w:val="21"/>
                      <w:highlight w:val="none"/>
                      <w:u w:val="none"/>
                      <w:lang w:val="en-US" w:eastAsia="zh-CN"/>
                    </w:rPr>
                    <w:t>沉淀池、污泥暂存区重点防渗</w:t>
                  </w:r>
                </w:p>
              </w:tc>
              <w:tc>
                <w:tcPr>
                  <w:tcW w:w="1117" w:type="dxa"/>
                  <w:tcBorders>
                    <w:tl2br w:val="nil"/>
                    <w:tr2bl w:val="nil"/>
                  </w:tcBorders>
                  <w:vAlign w:val="center"/>
                </w:tcPr>
                <w:p w14:paraId="613238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r>
            <w:tr w14:paraId="00974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6" w:type="dxa"/>
                  <w:gridSpan w:val="3"/>
                  <w:tcBorders>
                    <w:tl2br w:val="nil"/>
                    <w:tr2bl w:val="nil"/>
                  </w:tcBorders>
                  <w:vAlign w:val="center"/>
                </w:tcPr>
                <w:p w14:paraId="0324F440">
                  <w:pPr>
                    <w:keepNext w:val="0"/>
                    <w:keepLines w:val="0"/>
                    <w:widowControl/>
                    <w:suppressLineNumbers w:val="0"/>
                    <w:jc w:val="center"/>
                    <w:rPr>
                      <w:rFonts w:hint="eastAsia" w:ascii="仿宋" w:hAnsi="仿宋" w:eastAsia="仿宋" w:cs="仿宋"/>
                      <w:snapToGrid w:val="0"/>
                      <w:color w:val="auto"/>
                      <w:kern w:val="0"/>
                      <w:sz w:val="21"/>
                      <w:szCs w:val="21"/>
                      <w:highlight w:val="none"/>
                      <w:u w:val="none"/>
                    </w:rPr>
                  </w:pPr>
                  <w:r>
                    <w:rPr>
                      <w:rFonts w:hint="eastAsia" w:ascii="仿宋" w:hAnsi="仿宋" w:eastAsia="仿宋" w:cs="仿宋"/>
                      <w:color w:val="auto"/>
                      <w:sz w:val="21"/>
                      <w:szCs w:val="21"/>
                      <w:highlight w:val="none"/>
                      <w:vertAlign w:val="baseline"/>
                      <w:lang w:val="en-US" w:eastAsia="zh-CN"/>
                    </w:rPr>
                    <w:t>合计</w:t>
                  </w:r>
                </w:p>
              </w:tc>
              <w:tc>
                <w:tcPr>
                  <w:tcW w:w="1117" w:type="dxa"/>
                  <w:tcBorders>
                    <w:tl2br w:val="nil"/>
                    <w:tr2bl w:val="nil"/>
                  </w:tcBorders>
                  <w:vAlign w:val="center"/>
                </w:tcPr>
                <w:p w14:paraId="44D3AD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55</w:t>
                  </w:r>
                </w:p>
              </w:tc>
            </w:tr>
          </w:tbl>
          <w:p w14:paraId="4C3E5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sz w:val="24"/>
                <w:szCs w:val="24"/>
                <w:highlight w:val="yellow"/>
                <w:lang w:val="en-US" w:eastAsia="zh-CN"/>
              </w:rPr>
            </w:pPr>
          </w:p>
        </w:tc>
      </w:tr>
    </w:tbl>
    <w:p w14:paraId="426378EF">
      <w:pPr>
        <w:pStyle w:val="28"/>
        <w:spacing w:before="0" w:beforeAutospacing="0" w:after="0" w:afterAutospacing="0"/>
        <w:jc w:val="center"/>
        <w:outlineLvl w:val="0"/>
        <w:rPr>
          <w:rFonts w:hint="eastAsia" w:ascii="仿宋" w:hAnsi="仿宋" w:eastAsia="仿宋" w:cs="仿宋"/>
          <w:b/>
          <w:bCs/>
          <w:snapToGrid w:val="0"/>
          <w:color w:val="auto"/>
          <w:sz w:val="30"/>
          <w:szCs w:val="30"/>
        </w:rPr>
      </w:pPr>
      <w:r>
        <w:rPr>
          <w:rFonts w:hint="eastAsia" w:ascii="仿宋" w:hAnsi="仿宋" w:eastAsia="仿宋" w:cs="仿宋"/>
          <w:snapToGrid w:val="0"/>
          <w:color w:val="FF0000"/>
        </w:rPr>
        <w:br w:type="page"/>
      </w:r>
      <w:r>
        <w:rPr>
          <w:rFonts w:hint="eastAsia" w:ascii="仿宋" w:hAnsi="仿宋" w:eastAsia="仿宋" w:cs="仿宋"/>
          <w:b/>
          <w:bCs/>
          <w:snapToGrid w:val="0"/>
          <w:color w:val="auto"/>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7CB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401D140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rPr>
            </w:pPr>
            <w:r>
              <w:rPr>
                <w:rFonts w:hint="eastAsia" w:ascii="仿宋" w:hAnsi="仿宋" w:eastAsia="仿宋" w:cs="仿宋"/>
                <w:snapToGrid w:val="0"/>
                <w:color w:val="auto"/>
                <w:kern w:val="0"/>
                <w:sz w:val="24"/>
              </w:rPr>
              <w:t>综上所述，本项目符合国家及地方产业政策，选址符合</w:t>
            </w:r>
            <w:r>
              <w:rPr>
                <w:rFonts w:hint="eastAsia" w:ascii="仿宋" w:hAnsi="仿宋" w:eastAsia="仿宋" w:cs="仿宋"/>
                <w:color w:val="auto"/>
                <w:kern w:val="0"/>
                <w:sz w:val="24"/>
              </w:rPr>
              <w:t>上窑工业聚集区</w:t>
            </w:r>
            <w:r>
              <w:rPr>
                <w:rFonts w:hint="eastAsia" w:ascii="仿宋" w:hAnsi="仿宋" w:eastAsia="仿宋" w:cs="仿宋"/>
                <w:color w:val="auto"/>
                <w:kern w:val="0"/>
                <w:sz w:val="24"/>
                <w:lang w:val="en-US" w:eastAsia="zh-CN"/>
              </w:rPr>
              <w:t>规划</w:t>
            </w:r>
            <w:r>
              <w:rPr>
                <w:rFonts w:hint="eastAsia" w:ascii="仿宋" w:hAnsi="仿宋" w:eastAsia="仿宋" w:cs="仿宋"/>
                <w:snapToGrid w:val="0"/>
                <w:color w:val="auto"/>
                <w:kern w:val="0"/>
                <w:sz w:val="24"/>
              </w:rPr>
              <w:t>要求。生产工艺、技术成熟可靠，产品规模合理，市场前景良好，原辅材料来源稳定可靠，公用工程条件具备，运输条件较好。项目实施后在采用各项污染防治措施的前提条件下，各项污染物能够做到达标排放；污染物排放量符合总量控制要求；本项目的实施不会降低区域环境空气质量、水环境质量及声环境质量标准。该项目在建设过程中，应严格执行环保设施与主体工程同时设计、同时施工、同时投产的</w:t>
            </w:r>
            <w:r>
              <w:rPr>
                <w:rFonts w:hint="eastAsia" w:ascii="仿宋" w:hAnsi="仿宋" w:eastAsia="仿宋" w:cs="仿宋"/>
                <w:snapToGrid w:val="0"/>
                <w:color w:val="auto"/>
                <w:kern w:val="0"/>
                <w:sz w:val="24"/>
                <w:lang w:eastAsia="zh-CN"/>
              </w:rPr>
              <w:t>“</w:t>
            </w:r>
            <w:r>
              <w:rPr>
                <w:rFonts w:hint="eastAsia" w:ascii="仿宋" w:hAnsi="仿宋" w:eastAsia="仿宋" w:cs="仿宋"/>
                <w:snapToGrid w:val="0"/>
                <w:color w:val="auto"/>
                <w:kern w:val="0"/>
                <w:sz w:val="24"/>
              </w:rPr>
              <w:t>三同时</w:t>
            </w:r>
            <w:r>
              <w:rPr>
                <w:rFonts w:hint="eastAsia" w:ascii="仿宋" w:hAnsi="仿宋" w:eastAsia="仿宋" w:cs="仿宋"/>
                <w:snapToGrid w:val="0"/>
                <w:color w:val="auto"/>
                <w:kern w:val="0"/>
                <w:sz w:val="24"/>
                <w:lang w:eastAsia="zh-CN"/>
              </w:rPr>
              <w:t>”</w:t>
            </w:r>
            <w:r>
              <w:rPr>
                <w:rFonts w:hint="eastAsia" w:ascii="仿宋" w:hAnsi="仿宋" w:eastAsia="仿宋" w:cs="仿宋"/>
                <w:snapToGrid w:val="0"/>
                <w:color w:val="auto"/>
                <w:kern w:val="0"/>
                <w:sz w:val="24"/>
              </w:rPr>
              <w:t>制度。从</w:t>
            </w:r>
            <w:r>
              <w:rPr>
                <w:rFonts w:hint="eastAsia" w:ascii="仿宋" w:hAnsi="仿宋" w:eastAsia="仿宋" w:cs="仿宋"/>
                <w:snapToGrid w:val="0"/>
                <w:color w:val="auto"/>
                <w:kern w:val="0"/>
                <w:sz w:val="24"/>
                <w:lang w:val="en-US" w:eastAsia="zh-CN"/>
              </w:rPr>
              <w:t>环境影响</w:t>
            </w:r>
            <w:r>
              <w:rPr>
                <w:rFonts w:hint="eastAsia" w:ascii="仿宋" w:hAnsi="仿宋" w:eastAsia="仿宋" w:cs="仿宋"/>
                <w:snapToGrid w:val="0"/>
                <w:color w:val="auto"/>
                <w:kern w:val="0"/>
                <w:sz w:val="24"/>
              </w:rPr>
              <w:t>角度出发，该项目的建设是可行的。</w:t>
            </w:r>
          </w:p>
          <w:p w14:paraId="41D7B2EA">
            <w:pPr>
              <w:spacing w:line="360" w:lineRule="auto"/>
              <w:jc w:val="center"/>
              <w:rPr>
                <w:rFonts w:hint="eastAsia" w:ascii="仿宋" w:hAnsi="仿宋" w:eastAsia="仿宋" w:cs="仿宋"/>
                <w:color w:val="auto"/>
                <w:sz w:val="24"/>
              </w:rPr>
            </w:pPr>
          </w:p>
        </w:tc>
      </w:tr>
    </w:tbl>
    <w:p w14:paraId="645FCA6B">
      <w:pPr>
        <w:rPr>
          <w:rFonts w:hint="eastAsia" w:ascii="仿宋" w:hAnsi="仿宋" w:eastAsia="仿宋" w:cs="仿宋"/>
          <w:color w:val="FF000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9886C48">
      <w:pPr>
        <w:pStyle w:val="28"/>
        <w:adjustRightInd w:val="0"/>
        <w:snapToGrid w:val="0"/>
        <w:spacing w:before="0" w:beforeAutospacing="0" w:after="0" w:afterAutospacing="0" w:line="240" w:lineRule="auto"/>
        <w:outlineLvl w:val="0"/>
        <w:rPr>
          <w:rFonts w:hint="eastAsia" w:ascii="仿宋" w:hAnsi="仿宋" w:eastAsia="仿宋" w:cs="仿宋"/>
          <w:snapToGrid w:val="0"/>
          <w:color w:val="auto"/>
          <w:sz w:val="32"/>
          <w:szCs w:val="32"/>
        </w:rPr>
      </w:pPr>
      <w:r>
        <w:rPr>
          <w:rFonts w:hint="eastAsia" w:ascii="仿宋" w:hAnsi="仿宋" w:eastAsia="仿宋" w:cs="仿宋"/>
          <w:snapToGrid w:val="0"/>
          <w:color w:val="auto"/>
          <w:sz w:val="32"/>
          <w:szCs w:val="32"/>
        </w:rPr>
        <w:t>附表</w:t>
      </w:r>
    </w:p>
    <w:p w14:paraId="4A2AEAA2">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仿宋" w:hAnsi="仿宋" w:eastAsia="仿宋" w:cs="仿宋"/>
          <w:snapToGrid w:val="0"/>
          <w:color w:val="auto"/>
          <w:sz w:val="38"/>
          <w:szCs w:val="38"/>
        </w:rPr>
      </w:pPr>
      <w:r>
        <w:rPr>
          <w:rFonts w:hint="eastAsia" w:ascii="仿宋" w:hAnsi="仿宋" w:eastAsia="仿宋" w:cs="仿宋"/>
          <w:snapToGrid w:val="0"/>
          <w:color w:val="auto"/>
          <w:sz w:val="38"/>
          <w:szCs w:val="38"/>
        </w:rPr>
        <w:t>建设项目污染物排放量汇总表</w:t>
      </w:r>
    </w:p>
    <w:tbl>
      <w:tblPr>
        <w:tblStyle w:val="32"/>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63"/>
        <w:gridCol w:w="1725"/>
        <w:gridCol w:w="1214"/>
        <w:gridCol w:w="1707"/>
        <w:gridCol w:w="1570"/>
        <w:gridCol w:w="1523"/>
        <w:gridCol w:w="2123"/>
        <w:gridCol w:w="1351"/>
      </w:tblGrid>
      <w:tr w14:paraId="4F433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tcBorders>
              <w:tl2br w:val="single" w:color="auto" w:sz="4" w:space="0"/>
            </w:tcBorders>
            <w:tcMar>
              <w:left w:w="28" w:type="dxa"/>
              <w:right w:w="28" w:type="dxa"/>
            </w:tcMar>
            <w:vAlign w:val="center"/>
          </w:tcPr>
          <w:p w14:paraId="5C7F7D86">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lang w:val="en-US" w:eastAsia="zh-CN"/>
              </w:rPr>
              <w:t xml:space="preserve">    </w:t>
            </w:r>
            <w:r>
              <w:rPr>
                <w:rFonts w:hint="eastAsia" w:ascii="仿宋" w:hAnsi="仿宋" w:eastAsia="仿宋" w:cs="仿宋"/>
                <w:b/>
                <w:bCs/>
                <w:snapToGrid w:val="0"/>
                <w:color w:val="auto"/>
                <w:spacing w:val="-6"/>
                <w:kern w:val="21"/>
                <w:sz w:val="21"/>
                <w:szCs w:val="21"/>
              </w:rPr>
              <w:t>项目</w:t>
            </w:r>
          </w:p>
          <w:p w14:paraId="74C8595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left"/>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分类</w:t>
            </w:r>
          </w:p>
        </w:tc>
        <w:tc>
          <w:tcPr>
            <w:tcW w:w="1863" w:type="dxa"/>
            <w:tcMar>
              <w:left w:w="28" w:type="dxa"/>
              <w:right w:w="28" w:type="dxa"/>
            </w:tcMar>
            <w:vAlign w:val="center"/>
          </w:tcPr>
          <w:p w14:paraId="0614A637">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污染物名称</w:t>
            </w:r>
          </w:p>
        </w:tc>
        <w:tc>
          <w:tcPr>
            <w:tcW w:w="1725" w:type="dxa"/>
            <w:tcMar>
              <w:left w:w="28" w:type="dxa"/>
              <w:right w:w="28" w:type="dxa"/>
            </w:tcMar>
            <w:vAlign w:val="center"/>
          </w:tcPr>
          <w:p w14:paraId="7333E85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现有工程排放量（固体废物产生量）</w:t>
            </w:r>
            <w:r>
              <w:rPr>
                <w:rFonts w:hint="eastAsia" w:ascii="仿宋" w:hAnsi="仿宋" w:eastAsia="仿宋" w:cs="仿宋"/>
                <w:b/>
                <w:bCs/>
                <w:snapToGrid w:val="0"/>
                <w:color w:val="auto"/>
                <w:spacing w:val="-6"/>
                <w:kern w:val="21"/>
                <w:sz w:val="21"/>
                <w:szCs w:val="21"/>
              </w:rPr>
              <w:fldChar w:fldCharType="begin"/>
            </w:r>
            <w:r>
              <w:rPr>
                <w:rFonts w:hint="eastAsia" w:ascii="仿宋" w:hAnsi="仿宋" w:eastAsia="仿宋" w:cs="仿宋"/>
                <w:b/>
                <w:bCs/>
                <w:snapToGrid w:val="0"/>
                <w:color w:val="auto"/>
                <w:spacing w:val="-6"/>
                <w:kern w:val="21"/>
                <w:sz w:val="21"/>
                <w:szCs w:val="21"/>
              </w:rPr>
              <w:instrText xml:space="preserve"> = 1 \* GB3 \* MERGEFORMAT </w:instrText>
            </w:r>
            <w:r>
              <w:rPr>
                <w:rFonts w:hint="eastAsia" w:ascii="仿宋" w:hAnsi="仿宋" w:eastAsia="仿宋" w:cs="仿宋"/>
                <w:b/>
                <w:bCs/>
                <w:snapToGrid w:val="0"/>
                <w:color w:val="auto"/>
                <w:spacing w:val="-6"/>
                <w:kern w:val="21"/>
                <w:sz w:val="21"/>
                <w:szCs w:val="21"/>
              </w:rPr>
              <w:fldChar w:fldCharType="separate"/>
            </w:r>
            <w:r>
              <w:rPr>
                <w:rFonts w:hint="eastAsia" w:ascii="仿宋" w:hAnsi="仿宋" w:eastAsia="仿宋" w:cs="仿宋"/>
                <w:b/>
                <w:bCs/>
                <w:color w:val="auto"/>
                <w:kern w:val="2"/>
                <w:sz w:val="21"/>
                <w:szCs w:val="21"/>
              </w:rPr>
              <w:t>①</w:t>
            </w:r>
            <w:r>
              <w:rPr>
                <w:rFonts w:hint="eastAsia" w:ascii="仿宋" w:hAnsi="仿宋" w:eastAsia="仿宋" w:cs="仿宋"/>
                <w:b/>
                <w:bCs/>
                <w:snapToGrid w:val="0"/>
                <w:color w:val="auto"/>
                <w:spacing w:val="-6"/>
                <w:kern w:val="21"/>
                <w:sz w:val="21"/>
                <w:szCs w:val="21"/>
              </w:rPr>
              <w:fldChar w:fldCharType="end"/>
            </w:r>
          </w:p>
        </w:tc>
        <w:tc>
          <w:tcPr>
            <w:tcW w:w="1214" w:type="dxa"/>
            <w:tcMar>
              <w:left w:w="28" w:type="dxa"/>
              <w:right w:w="28" w:type="dxa"/>
            </w:tcMar>
            <w:vAlign w:val="center"/>
          </w:tcPr>
          <w:p w14:paraId="199FE15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现有工程许可排放量</w:t>
            </w:r>
            <w:r>
              <w:rPr>
                <w:rFonts w:hint="eastAsia" w:ascii="仿宋" w:hAnsi="仿宋" w:eastAsia="仿宋" w:cs="仿宋"/>
                <w:b/>
                <w:bCs/>
                <w:snapToGrid w:val="0"/>
                <w:color w:val="auto"/>
                <w:spacing w:val="-6"/>
                <w:kern w:val="21"/>
                <w:sz w:val="21"/>
                <w:szCs w:val="21"/>
              </w:rPr>
              <w:fldChar w:fldCharType="begin"/>
            </w:r>
            <w:r>
              <w:rPr>
                <w:rFonts w:hint="eastAsia" w:ascii="仿宋" w:hAnsi="仿宋" w:eastAsia="仿宋" w:cs="仿宋"/>
                <w:b/>
                <w:bCs/>
                <w:snapToGrid w:val="0"/>
                <w:color w:val="auto"/>
                <w:spacing w:val="-6"/>
                <w:kern w:val="21"/>
                <w:sz w:val="21"/>
                <w:szCs w:val="21"/>
              </w:rPr>
              <w:instrText xml:space="preserve"> = 2 \* GB3 \* MERGEFORMAT </w:instrText>
            </w:r>
            <w:r>
              <w:rPr>
                <w:rFonts w:hint="eastAsia" w:ascii="仿宋" w:hAnsi="仿宋" w:eastAsia="仿宋" w:cs="仿宋"/>
                <w:b/>
                <w:bCs/>
                <w:snapToGrid w:val="0"/>
                <w:color w:val="auto"/>
                <w:spacing w:val="-6"/>
                <w:kern w:val="21"/>
                <w:sz w:val="21"/>
                <w:szCs w:val="21"/>
              </w:rPr>
              <w:fldChar w:fldCharType="separate"/>
            </w:r>
            <w:r>
              <w:rPr>
                <w:rFonts w:hint="eastAsia" w:ascii="仿宋" w:hAnsi="仿宋" w:eastAsia="仿宋" w:cs="仿宋"/>
                <w:b/>
                <w:bCs/>
                <w:snapToGrid w:val="0"/>
                <w:color w:val="auto"/>
                <w:spacing w:val="-6"/>
                <w:kern w:val="21"/>
                <w:sz w:val="21"/>
                <w:szCs w:val="21"/>
              </w:rPr>
              <w:t>②</w:t>
            </w:r>
            <w:r>
              <w:rPr>
                <w:rFonts w:hint="eastAsia" w:ascii="仿宋" w:hAnsi="仿宋" w:eastAsia="仿宋" w:cs="仿宋"/>
                <w:b/>
                <w:bCs/>
                <w:snapToGrid w:val="0"/>
                <w:color w:val="auto"/>
                <w:spacing w:val="-6"/>
                <w:kern w:val="21"/>
                <w:sz w:val="21"/>
                <w:szCs w:val="21"/>
              </w:rPr>
              <w:fldChar w:fldCharType="end"/>
            </w:r>
          </w:p>
        </w:tc>
        <w:tc>
          <w:tcPr>
            <w:tcW w:w="1707" w:type="dxa"/>
            <w:tcMar>
              <w:left w:w="28" w:type="dxa"/>
              <w:right w:w="28" w:type="dxa"/>
            </w:tcMar>
            <w:vAlign w:val="center"/>
          </w:tcPr>
          <w:p w14:paraId="6C9D5421">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在建工程排放量（固体废物产生量）</w:t>
            </w:r>
            <w:r>
              <w:rPr>
                <w:rFonts w:hint="eastAsia" w:ascii="仿宋" w:hAnsi="仿宋" w:eastAsia="仿宋" w:cs="仿宋"/>
                <w:b/>
                <w:bCs/>
                <w:snapToGrid w:val="0"/>
                <w:color w:val="auto"/>
                <w:spacing w:val="-6"/>
                <w:kern w:val="21"/>
                <w:sz w:val="21"/>
                <w:szCs w:val="21"/>
              </w:rPr>
              <w:fldChar w:fldCharType="begin"/>
            </w:r>
            <w:r>
              <w:rPr>
                <w:rFonts w:hint="eastAsia" w:ascii="仿宋" w:hAnsi="仿宋" w:eastAsia="仿宋" w:cs="仿宋"/>
                <w:b/>
                <w:bCs/>
                <w:snapToGrid w:val="0"/>
                <w:color w:val="auto"/>
                <w:spacing w:val="-6"/>
                <w:kern w:val="21"/>
                <w:sz w:val="21"/>
                <w:szCs w:val="21"/>
              </w:rPr>
              <w:instrText xml:space="preserve"> = 3 \* GB3 \* MERGEFORMAT </w:instrText>
            </w:r>
            <w:r>
              <w:rPr>
                <w:rFonts w:hint="eastAsia" w:ascii="仿宋" w:hAnsi="仿宋" w:eastAsia="仿宋" w:cs="仿宋"/>
                <w:b/>
                <w:bCs/>
                <w:snapToGrid w:val="0"/>
                <w:color w:val="auto"/>
                <w:spacing w:val="-6"/>
                <w:kern w:val="21"/>
                <w:sz w:val="21"/>
                <w:szCs w:val="21"/>
              </w:rPr>
              <w:fldChar w:fldCharType="separate"/>
            </w:r>
            <w:r>
              <w:rPr>
                <w:rFonts w:hint="eastAsia" w:ascii="仿宋" w:hAnsi="仿宋" w:eastAsia="仿宋" w:cs="仿宋"/>
                <w:b/>
                <w:bCs/>
                <w:color w:val="auto"/>
                <w:kern w:val="2"/>
                <w:sz w:val="21"/>
                <w:szCs w:val="21"/>
              </w:rPr>
              <w:t>③</w:t>
            </w:r>
            <w:r>
              <w:rPr>
                <w:rFonts w:hint="eastAsia" w:ascii="仿宋" w:hAnsi="仿宋" w:eastAsia="仿宋" w:cs="仿宋"/>
                <w:b/>
                <w:bCs/>
                <w:snapToGrid w:val="0"/>
                <w:color w:val="auto"/>
                <w:spacing w:val="-6"/>
                <w:kern w:val="21"/>
                <w:sz w:val="21"/>
                <w:szCs w:val="21"/>
              </w:rPr>
              <w:fldChar w:fldCharType="end"/>
            </w:r>
          </w:p>
        </w:tc>
        <w:tc>
          <w:tcPr>
            <w:tcW w:w="1570" w:type="dxa"/>
            <w:tcMar>
              <w:left w:w="28" w:type="dxa"/>
              <w:right w:w="28" w:type="dxa"/>
            </w:tcMar>
            <w:vAlign w:val="center"/>
          </w:tcPr>
          <w:p w14:paraId="62052EAB">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本项目排放量（固体废物产生量）</w:t>
            </w:r>
            <w:r>
              <w:rPr>
                <w:rFonts w:hint="eastAsia" w:ascii="仿宋" w:hAnsi="仿宋" w:eastAsia="仿宋" w:cs="仿宋"/>
                <w:b/>
                <w:bCs/>
                <w:snapToGrid w:val="0"/>
                <w:color w:val="auto"/>
                <w:spacing w:val="-6"/>
                <w:kern w:val="21"/>
                <w:sz w:val="21"/>
                <w:szCs w:val="21"/>
              </w:rPr>
              <w:fldChar w:fldCharType="begin"/>
            </w:r>
            <w:r>
              <w:rPr>
                <w:rFonts w:hint="eastAsia" w:ascii="仿宋" w:hAnsi="仿宋" w:eastAsia="仿宋" w:cs="仿宋"/>
                <w:b/>
                <w:bCs/>
                <w:snapToGrid w:val="0"/>
                <w:color w:val="auto"/>
                <w:spacing w:val="-6"/>
                <w:kern w:val="21"/>
                <w:sz w:val="21"/>
                <w:szCs w:val="21"/>
              </w:rPr>
              <w:instrText xml:space="preserve"> = 4 \* GB3 \* MERGEFORMAT </w:instrText>
            </w:r>
            <w:r>
              <w:rPr>
                <w:rFonts w:hint="eastAsia" w:ascii="仿宋" w:hAnsi="仿宋" w:eastAsia="仿宋" w:cs="仿宋"/>
                <w:b/>
                <w:bCs/>
                <w:snapToGrid w:val="0"/>
                <w:color w:val="auto"/>
                <w:spacing w:val="-6"/>
                <w:kern w:val="21"/>
                <w:sz w:val="21"/>
                <w:szCs w:val="21"/>
              </w:rPr>
              <w:fldChar w:fldCharType="separate"/>
            </w:r>
            <w:r>
              <w:rPr>
                <w:rFonts w:hint="eastAsia" w:ascii="仿宋" w:hAnsi="仿宋" w:eastAsia="仿宋" w:cs="仿宋"/>
                <w:b/>
                <w:bCs/>
                <w:color w:val="auto"/>
                <w:kern w:val="2"/>
                <w:sz w:val="21"/>
                <w:szCs w:val="21"/>
              </w:rPr>
              <w:t>④</w:t>
            </w:r>
            <w:r>
              <w:rPr>
                <w:rFonts w:hint="eastAsia" w:ascii="仿宋" w:hAnsi="仿宋" w:eastAsia="仿宋" w:cs="仿宋"/>
                <w:b/>
                <w:bCs/>
                <w:snapToGrid w:val="0"/>
                <w:color w:val="auto"/>
                <w:spacing w:val="-6"/>
                <w:kern w:val="21"/>
                <w:sz w:val="21"/>
                <w:szCs w:val="21"/>
              </w:rPr>
              <w:fldChar w:fldCharType="end"/>
            </w:r>
          </w:p>
        </w:tc>
        <w:tc>
          <w:tcPr>
            <w:tcW w:w="1523" w:type="dxa"/>
            <w:tcMar>
              <w:left w:w="28" w:type="dxa"/>
              <w:right w:w="28" w:type="dxa"/>
            </w:tcMar>
            <w:vAlign w:val="center"/>
          </w:tcPr>
          <w:p w14:paraId="4926668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16"/>
                <w:kern w:val="21"/>
                <w:sz w:val="21"/>
                <w:szCs w:val="21"/>
              </w:rPr>
            </w:pPr>
            <w:r>
              <w:rPr>
                <w:rFonts w:hint="eastAsia" w:ascii="仿宋" w:hAnsi="仿宋" w:eastAsia="仿宋" w:cs="仿宋"/>
                <w:b/>
                <w:bCs/>
                <w:snapToGrid w:val="0"/>
                <w:color w:val="auto"/>
                <w:spacing w:val="-16"/>
                <w:kern w:val="21"/>
                <w:sz w:val="21"/>
                <w:szCs w:val="21"/>
              </w:rPr>
              <w:t>以新带老削减量（新建项目不填）</w:t>
            </w:r>
            <w:r>
              <w:rPr>
                <w:rFonts w:hint="eastAsia" w:ascii="仿宋" w:hAnsi="仿宋" w:eastAsia="仿宋" w:cs="仿宋"/>
                <w:b/>
                <w:bCs/>
                <w:snapToGrid w:val="0"/>
                <w:color w:val="auto"/>
                <w:spacing w:val="-16"/>
                <w:kern w:val="21"/>
                <w:sz w:val="21"/>
                <w:szCs w:val="21"/>
              </w:rPr>
              <w:fldChar w:fldCharType="begin"/>
            </w:r>
            <w:r>
              <w:rPr>
                <w:rFonts w:hint="eastAsia" w:ascii="仿宋" w:hAnsi="仿宋" w:eastAsia="仿宋" w:cs="仿宋"/>
                <w:b/>
                <w:bCs/>
                <w:snapToGrid w:val="0"/>
                <w:color w:val="auto"/>
                <w:spacing w:val="-16"/>
                <w:kern w:val="21"/>
                <w:sz w:val="21"/>
                <w:szCs w:val="21"/>
              </w:rPr>
              <w:instrText xml:space="preserve"> = 5 \* GB3 \* MERGEFORMAT </w:instrText>
            </w:r>
            <w:r>
              <w:rPr>
                <w:rFonts w:hint="eastAsia" w:ascii="仿宋" w:hAnsi="仿宋" w:eastAsia="仿宋" w:cs="仿宋"/>
                <w:b/>
                <w:bCs/>
                <w:snapToGrid w:val="0"/>
                <w:color w:val="auto"/>
                <w:spacing w:val="-16"/>
                <w:kern w:val="21"/>
                <w:sz w:val="21"/>
                <w:szCs w:val="21"/>
              </w:rPr>
              <w:fldChar w:fldCharType="separate"/>
            </w:r>
            <w:r>
              <w:rPr>
                <w:rFonts w:hint="eastAsia" w:ascii="仿宋" w:hAnsi="仿宋" w:eastAsia="仿宋" w:cs="仿宋"/>
                <w:b/>
                <w:bCs/>
                <w:color w:val="auto"/>
                <w:kern w:val="2"/>
                <w:sz w:val="21"/>
                <w:szCs w:val="21"/>
              </w:rPr>
              <w:t>⑤</w:t>
            </w:r>
            <w:r>
              <w:rPr>
                <w:rFonts w:hint="eastAsia" w:ascii="仿宋" w:hAnsi="仿宋" w:eastAsia="仿宋" w:cs="仿宋"/>
                <w:b/>
                <w:bCs/>
                <w:snapToGrid w:val="0"/>
                <w:color w:val="auto"/>
                <w:spacing w:val="-16"/>
                <w:kern w:val="21"/>
                <w:sz w:val="21"/>
                <w:szCs w:val="21"/>
              </w:rPr>
              <w:fldChar w:fldCharType="end"/>
            </w:r>
          </w:p>
        </w:tc>
        <w:tc>
          <w:tcPr>
            <w:tcW w:w="2123" w:type="dxa"/>
            <w:tcMar>
              <w:left w:w="28" w:type="dxa"/>
              <w:right w:w="28" w:type="dxa"/>
            </w:tcMar>
            <w:vAlign w:val="center"/>
          </w:tcPr>
          <w:p w14:paraId="4D4D7555">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16"/>
                <w:kern w:val="21"/>
                <w:sz w:val="21"/>
                <w:szCs w:val="21"/>
              </w:rPr>
            </w:pPr>
            <w:r>
              <w:rPr>
                <w:rFonts w:hint="eastAsia" w:ascii="仿宋" w:hAnsi="仿宋" w:eastAsia="仿宋" w:cs="仿宋"/>
                <w:b/>
                <w:bCs/>
                <w:snapToGrid w:val="0"/>
                <w:color w:val="auto"/>
                <w:spacing w:val="-16"/>
                <w:kern w:val="21"/>
                <w:sz w:val="21"/>
                <w:szCs w:val="21"/>
              </w:rPr>
              <w:t>本项目建成后全厂排放量（固体废物产生量）</w:t>
            </w:r>
            <w:r>
              <w:rPr>
                <w:rFonts w:hint="eastAsia" w:ascii="仿宋" w:hAnsi="仿宋" w:eastAsia="仿宋" w:cs="仿宋"/>
                <w:b/>
                <w:bCs/>
                <w:snapToGrid w:val="0"/>
                <w:color w:val="auto"/>
                <w:spacing w:val="-16"/>
                <w:kern w:val="21"/>
                <w:sz w:val="21"/>
                <w:szCs w:val="21"/>
              </w:rPr>
              <w:fldChar w:fldCharType="begin"/>
            </w:r>
            <w:r>
              <w:rPr>
                <w:rFonts w:hint="eastAsia" w:ascii="仿宋" w:hAnsi="仿宋" w:eastAsia="仿宋" w:cs="仿宋"/>
                <w:b/>
                <w:bCs/>
                <w:snapToGrid w:val="0"/>
                <w:color w:val="auto"/>
                <w:spacing w:val="-16"/>
                <w:kern w:val="21"/>
                <w:sz w:val="21"/>
                <w:szCs w:val="21"/>
              </w:rPr>
              <w:instrText xml:space="preserve"> = 6 \* GB3 \* MERGEFORMAT </w:instrText>
            </w:r>
            <w:r>
              <w:rPr>
                <w:rFonts w:hint="eastAsia" w:ascii="仿宋" w:hAnsi="仿宋" w:eastAsia="仿宋" w:cs="仿宋"/>
                <w:b/>
                <w:bCs/>
                <w:snapToGrid w:val="0"/>
                <w:color w:val="auto"/>
                <w:spacing w:val="-16"/>
                <w:kern w:val="21"/>
                <w:sz w:val="21"/>
                <w:szCs w:val="21"/>
              </w:rPr>
              <w:fldChar w:fldCharType="separate"/>
            </w:r>
            <w:r>
              <w:rPr>
                <w:rFonts w:hint="eastAsia" w:ascii="仿宋" w:hAnsi="仿宋" w:eastAsia="仿宋" w:cs="仿宋"/>
                <w:b/>
                <w:bCs/>
                <w:color w:val="auto"/>
                <w:kern w:val="2"/>
                <w:sz w:val="21"/>
                <w:szCs w:val="21"/>
              </w:rPr>
              <w:t>⑥</w:t>
            </w:r>
            <w:r>
              <w:rPr>
                <w:rFonts w:hint="eastAsia" w:ascii="仿宋" w:hAnsi="仿宋" w:eastAsia="仿宋" w:cs="仿宋"/>
                <w:b/>
                <w:bCs/>
                <w:snapToGrid w:val="0"/>
                <w:color w:val="auto"/>
                <w:spacing w:val="-16"/>
                <w:kern w:val="21"/>
                <w:sz w:val="21"/>
                <w:szCs w:val="21"/>
              </w:rPr>
              <w:fldChar w:fldCharType="end"/>
            </w:r>
          </w:p>
        </w:tc>
        <w:tc>
          <w:tcPr>
            <w:tcW w:w="1351" w:type="dxa"/>
            <w:tcMar>
              <w:left w:w="28" w:type="dxa"/>
              <w:right w:w="28" w:type="dxa"/>
            </w:tcMar>
            <w:vAlign w:val="center"/>
          </w:tcPr>
          <w:p w14:paraId="1662E22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t>变化量</w:t>
            </w:r>
          </w:p>
          <w:p w14:paraId="25678DAB">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bCs/>
                <w:snapToGrid w:val="0"/>
                <w:color w:val="auto"/>
                <w:spacing w:val="-6"/>
                <w:kern w:val="21"/>
                <w:sz w:val="21"/>
                <w:szCs w:val="21"/>
              </w:rPr>
            </w:pPr>
            <w:r>
              <w:rPr>
                <w:rFonts w:hint="eastAsia" w:ascii="仿宋" w:hAnsi="仿宋" w:eastAsia="仿宋" w:cs="仿宋"/>
                <w:b/>
                <w:bCs/>
                <w:snapToGrid w:val="0"/>
                <w:color w:val="auto"/>
                <w:spacing w:val="-6"/>
                <w:kern w:val="21"/>
                <w:sz w:val="21"/>
                <w:szCs w:val="21"/>
              </w:rPr>
              <w:fldChar w:fldCharType="begin"/>
            </w:r>
            <w:r>
              <w:rPr>
                <w:rFonts w:hint="eastAsia" w:ascii="仿宋" w:hAnsi="仿宋" w:eastAsia="仿宋" w:cs="仿宋"/>
                <w:b/>
                <w:bCs/>
                <w:snapToGrid w:val="0"/>
                <w:color w:val="auto"/>
                <w:spacing w:val="-6"/>
                <w:kern w:val="21"/>
                <w:sz w:val="21"/>
                <w:szCs w:val="21"/>
              </w:rPr>
              <w:instrText xml:space="preserve"> = 7 \* GB3 \* MERGEFORMAT </w:instrText>
            </w:r>
            <w:r>
              <w:rPr>
                <w:rFonts w:hint="eastAsia" w:ascii="仿宋" w:hAnsi="仿宋" w:eastAsia="仿宋" w:cs="仿宋"/>
                <w:b/>
                <w:bCs/>
                <w:snapToGrid w:val="0"/>
                <w:color w:val="auto"/>
                <w:spacing w:val="-6"/>
                <w:kern w:val="21"/>
                <w:sz w:val="21"/>
                <w:szCs w:val="21"/>
              </w:rPr>
              <w:fldChar w:fldCharType="separate"/>
            </w:r>
            <w:r>
              <w:rPr>
                <w:rFonts w:hint="eastAsia" w:ascii="仿宋" w:hAnsi="仿宋" w:eastAsia="仿宋" w:cs="仿宋"/>
                <w:b/>
                <w:bCs/>
                <w:color w:val="auto"/>
                <w:kern w:val="2"/>
                <w:sz w:val="21"/>
                <w:szCs w:val="21"/>
              </w:rPr>
              <w:t>⑦</w:t>
            </w:r>
            <w:r>
              <w:rPr>
                <w:rFonts w:hint="eastAsia" w:ascii="仿宋" w:hAnsi="仿宋" w:eastAsia="仿宋" w:cs="仿宋"/>
                <w:b/>
                <w:bCs/>
                <w:snapToGrid w:val="0"/>
                <w:color w:val="auto"/>
                <w:spacing w:val="-6"/>
                <w:kern w:val="21"/>
                <w:sz w:val="21"/>
                <w:szCs w:val="21"/>
              </w:rPr>
              <w:fldChar w:fldCharType="end"/>
            </w:r>
          </w:p>
        </w:tc>
      </w:tr>
      <w:tr w14:paraId="50906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restart"/>
            <w:vAlign w:val="center"/>
          </w:tcPr>
          <w:p w14:paraId="7B13DB4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废气</w:t>
            </w:r>
          </w:p>
        </w:tc>
        <w:tc>
          <w:tcPr>
            <w:tcW w:w="1863" w:type="dxa"/>
            <w:vAlign w:val="center"/>
          </w:tcPr>
          <w:p w14:paraId="7A1A3D9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颗粒物</w:t>
            </w:r>
          </w:p>
        </w:tc>
        <w:tc>
          <w:tcPr>
            <w:tcW w:w="1725" w:type="dxa"/>
            <w:vAlign w:val="center"/>
          </w:tcPr>
          <w:p w14:paraId="33FF129A">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6DD7D25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4C519532">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0257D3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0.333t/a</w:t>
            </w:r>
          </w:p>
        </w:tc>
        <w:tc>
          <w:tcPr>
            <w:tcW w:w="1523" w:type="dxa"/>
            <w:vAlign w:val="center"/>
          </w:tcPr>
          <w:p w14:paraId="1A7FC5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w:t>
            </w:r>
          </w:p>
        </w:tc>
        <w:tc>
          <w:tcPr>
            <w:tcW w:w="2123" w:type="dxa"/>
            <w:vAlign w:val="center"/>
          </w:tcPr>
          <w:p w14:paraId="0B0E92C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0.333t/a</w:t>
            </w:r>
          </w:p>
        </w:tc>
        <w:tc>
          <w:tcPr>
            <w:tcW w:w="1351" w:type="dxa"/>
            <w:vAlign w:val="center"/>
          </w:tcPr>
          <w:p w14:paraId="6CCB9C4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+0.333t/a</w:t>
            </w:r>
          </w:p>
        </w:tc>
      </w:tr>
      <w:tr w14:paraId="0AE7C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097" w:type="dxa"/>
            <w:vMerge w:val="continue"/>
            <w:vAlign w:val="center"/>
          </w:tcPr>
          <w:p w14:paraId="6A90BB98">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p>
        </w:tc>
        <w:tc>
          <w:tcPr>
            <w:tcW w:w="1863" w:type="dxa"/>
            <w:vAlign w:val="center"/>
          </w:tcPr>
          <w:p w14:paraId="46D1B5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硫化氢</w:t>
            </w:r>
          </w:p>
        </w:tc>
        <w:tc>
          <w:tcPr>
            <w:tcW w:w="1725" w:type="dxa"/>
            <w:vAlign w:val="center"/>
          </w:tcPr>
          <w:p w14:paraId="5A3E353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119C45A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015AAA1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6D52DF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0.222t/a</w:t>
            </w:r>
          </w:p>
        </w:tc>
        <w:tc>
          <w:tcPr>
            <w:tcW w:w="1523" w:type="dxa"/>
            <w:vAlign w:val="center"/>
          </w:tcPr>
          <w:p w14:paraId="3FA2F95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w:t>
            </w:r>
          </w:p>
        </w:tc>
        <w:tc>
          <w:tcPr>
            <w:tcW w:w="2123" w:type="dxa"/>
            <w:vAlign w:val="center"/>
          </w:tcPr>
          <w:p w14:paraId="7BE666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0.222t/a</w:t>
            </w:r>
          </w:p>
        </w:tc>
        <w:tc>
          <w:tcPr>
            <w:tcW w:w="1351" w:type="dxa"/>
            <w:vAlign w:val="center"/>
          </w:tcPr>
          <w:p w14:paraId="237854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+0.222t/a</w:t>
            </w:r>
          </w:p>
        </w:tc>
      </w:tr>
      <w:tr w14:paraId="4F9EC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097" w:type="dxa"/>
            <w:vMerge w:val="continue"/>
            <w:vAlign w:val="center"/>
          </w:tcPr>
          <w:p w14:paraId="5ED95602">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p>
        </w:tc>
        <w:tc>
          <w:tcPr>
            <w:tcW w:w="1863" w:type="dxa"/>
            <w:vAlign w:val="center"/>
          </w:tcPr>
          <w:p w14:paraId="09AE8E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氨</w:t>
            </w:r>
          </w:p>
        </w:tc>
        <w:tc>
          <w:tcPr>
            <w:tcW w:w="1725" w:type="dxa"/>
            <w:vAlign w:val="center"/>
          </w:tcPr>
          <w:p w14:paraId="21D2BBD7">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p>
        </w:tc>
        <w:tc>
          <w:tcPr>
            <w:tcW w:w="1214" w:type="dxa"/>
            <w:vAlign w:val="center"/>
          </w:tcPr>
          <w:p w14:paraId="6B18AEE5">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p>
        </w:tc>
        <w:tc>
          <w:tcPr>
            <w:tcW w:w="1707" w:type="dxa"/>
            <w:vAlign w:val="center"/>
          </w:tcPr>
          <w:p w14:paraId="6A65492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p>
        </w:tc>
        <w:tc>
          <w:tcPr>
            <w:tcW w:w="1570" w:type="dxa"/>
            <w:vAlign w:val="center"/>
          </w:tcPr>
          <w:p w14:paraId="0E42912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1.775t/a</w:t>
            </w:r>
          </w:p>
        </w:tc>
        <w:tc>
          <w:tcPr>
            <w:tcW w:w="1523" w:type="dxa"/>
            <w:vAlign w:val="center"/>
          </w:tcPr>
          <w:p w14:paraId="32EE93E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p>
        </w:tc>
        <w:tc>
          <w:tcPr>
            <w:tcW w:w="2123" w:type="dxa"/>
            <w:vAlign w:val="center"/>
          </w:tcPr>
          <w:p w14:paraId="09B6C16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1.775t/a</w:t>
            </w:r>
          </w:p>
        </w:tc>
        <w:tc>
          <w:tcPr>
            <w:tcW w:w="1351" w:type="dxa"/>
            <w:vAlign w:val="center"/>
          </w:tcPr>
          <w:p w14:paraId="636FC86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bidi="ar-SA"/>
              </w:rPr>
              <w:t>+1.775t/a</w:t>
            </w:r>
          </w:p>
        </w:tc>
      </w:tr>
      <w:tr w14:paraId="6D586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restart"/>
            <w:vAlign w:val="center"/>
          </w:tcPr>
          <w:p w14:paraId="304E363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废水</w:t>
            </w:r>
          </w:p>
        </w:tc>
        <w:tc>
          <w:tcPr>
            <w:tcW w:w="1863" w:type="dxa"/>
            <w:vAlign w:val="center"/>
          </w:tcPr>
          <w:p w14:paraId="1B9703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废水量</w:t>
            </w:r>
          </w:p>
        </w:tc>
        <w:tc>
          <w:tcPr>
            <w:tcW w:w="1725" w:type="dxa"/>
            <w:vAlign w:val="center"/>
          </w:tcPr>
          <w:p w14:paraId="639DFCD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57DBF2F5">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26DBE9E4">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13FD5E6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792t/a</w:t>
            </w:r>
          </w:p>
        </w:tc>
        <w:tc>
          <w:tcPr>
            <w:tcW w:w="1523" w:type="dxa"/>
            <w:vAlign w:val="center"/>
          </w:tcPr>
          <w:p w14:paraId="13920B2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444E0DA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lang w:val="en-US" w:eastAsia="zh-CN"/>
              </w:rPr>
              <w:t>726t/a</w:t>
            </w:r>
          </w:p>
        </w:tc>
        <w:tc>
          <w:tcPr>
            <w:tcW w:w="1351" w:type="dxa"/>
            <w:vAlign w:val="center"/>
          </w:tcPr>
          <w:p w14:paraId="349075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lang w:val="en-US" w:eastAsia="zh-CN"/>
              </w:rPr>
              <w:t>+726t/a</w:t>
            </w:r>
          </w:p>
        </w:tc>
      </w:tr>
      <w:tr w14:paraId="0FECC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continue"/>
            <w:vAlign w:val="center"/>
          </w:tcPr>
          <w:p w14:paraId="773ECB1A">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p>
        </w:tc>
        <w:tc>
          <w:tcPr>
            <w:tcW w:w="1863" w:type="dxa"/>
            <w:vAlign w:val="center"/>
          </w:tcPr>
          <w:p w14:paraId="73651C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COD</w:t>
            </w:r>
          </w:p>
        </w:tc>
        <w:tc>
          <w:tcPr>
            <w:tcW w:w="1725" w:type="dxa"/>
            <w:vAlign w:val="center"/>
          </w:tcPr>
          <w:p w14:paraId="1644798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247E527A">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1B70465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13BB3B3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0.238t/a</w:t>
            </w:r>
          </w:p>
        </w:tc>
        <w:tc>
          <w:tcPr>
            <w:tcW w:w="1523" w:type="dxa"/>
            <w:vAlign w:val="center"/>
          </w:tcPr>
          <w:p w14:paraId="43EB411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5BD873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0.238t/a</w:t>
            </w:r>
          </w:p>
        </w:tc>
        <w:tc>
          <w:tcPr>
            <w:tcW w:w="1351" w:type="dxa"/>
            <w:vAlign w:val="center"/>
          </w:tcPr>
          <w:p w14:paraId="210B47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+0.238t/a</w:t>
            </w:r>
          </w:p>
        </w:tc>
      </w:tr>
      <w:tr w14:paraId="2DE3C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continue"/>
            <w:vAlign w:val="center"/>
          </w:tcPr>
          <w:p w14:paraId="00D28265">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kern w:val="21"/>
                <w:sz w:val="21"/>
                <w:szCs w:val="21"/>
              </w:rPr>
            </w:pPr>
          </w:p>
        </w:tc>
        <w:tc>
          <w:tcPr>
            <w:tcW w:w="1863" w:type="dxa"/>
            <w:vAlign w:val="center"/>
          </w:tcPr>
          <w:p w14:paraId="1ED6CDF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b w:val="0"/>
                <w:bCs w:val="0"/>
                <w:snapToGrid w:val="0"/>
                <w:color w:val="auto"/>
                <w:spacing w:val="-6"/>
                <w:kern w:val="21"/>
                <w:sz w:val="21"/>
                <w:szCs w:val="21"/>
                <w:lang w:val="en-US" w:eastAsia="zh-CN" w:bidi="ar-SA"/>
              </w:rPr>
              <w:t>氨氮</w:t>
            </w:r>
          </w:p>
        </w:tc>
        <w:tc>
          <w:tcPr>
            <w:tcW w:w="1725" w:type="dxa"/>
            <w:vAlign w:val="center"/>
          </w:tcPr>
          <w:p w14:paraId="2AB2A1B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0598468A">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52555F0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737A080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lang w:val="en-US" w:eastAsia="zh-CN"/>
              </w:rPr>
              <w:t>0.02t/a</w:t>
            </w:r>
          </w:p>
        </w:tc>
        <w:tc>
          <w:tcPr>
            <w:tcW w:w="1523" w:type="dxa"/>
            <w:vAlign w:val="center"/>
          </w:tcPr>
          <w:p w14:paraId="3677CF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67A000E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lang w:val="en-US" w:eastAsia="zh-CN"/>
              </w:rPr>
              <w:t>0.02t/a</w:t>
            </w:r>
          </w:p>
        </w:tc>
        <w:tc>
          <w:tcPr>
            <w:tcW w:w="1351" w:type="dxa"/>
            <w:vAlign w:val="center"/>
          </w:tcPr>
          <w:p w14:paraId="1E9638B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lang w:val="en-US" w:eastAsia="zh-CN"/>
              </w:rPr>
              <w:t>+0.02t/a</w:t>
            </w:r>
          </w:p>
        </w:tc>
      </w:tr>
      <w:tr w14:paraId="495CA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97" w:type="dxa"/>
            <w:vMerge w:val="restart"/>
            <w:vAlign w:val="center"/>
          </w:tcPr>
          <w:p w14:paraId="77DE3102">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rPr>
            </w:pPr>
            <w:r>
              <w:rPr>
                <w:rFonts w:hint="eastAsia" w:ascii="仿宋" w:hAnsi="仿宋" w:eastAsia="仿宋" w:cs="仿宋"/>
                <w:b w:val="0"/>
                <w:bCs w:val="0"/>
                <w:snapToGrid w:val="0"/>
                <w:color w:val="auto"/>
                <w:spacing w:val="-6"/>
                <w:kern w:val="21"/>
                <w:sz w:val="21"/>
                <w:szCs w:val="21"/>
              </w:rPr>
              <w:t>一般工业</w:t>
            </w:r>
          </w:p>
          <w:p w14:paraId="1AC03213">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rPr>
            </w:pPr>
            <w:r>
              <w:rPr>
                <w:rFonts w:hint="eastAsia" w:ascii="仿宋" w:hAnsi="仿宋" w:eastAsia="仿宋" w:cs="仿宋"/>
                <w:b w:val="0"/>
                <w:bCs w:val="0"/>
                <w:snapToGrid w:val="0"/>
                <w:color w:val="auto"/>
                <w:spacing w:val="-6"/>
                <w:kern w:val="21"/>
                <w:sz w:val="21"/>
                <w:szCs w:val="21"/>
              </w:rPr>
              <w:t>固体废物</w:t>
            </w:r>
          </w:p>
        </w:tc>
        <w:tc>
          <w:tcPr>
            <w:tcW w:w="1863" w:type="dxa"/>
            <w:vAlign w:val="center"/>
          </w:tcPr>
          <w:p w14:paraId="0021CB48">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生活垃圾</w:t>
            </w:r>
          </w:p>
        </w:tc>
        <w:tc>
          <w:tcPr>
            <w:tcW w:w="1725" w:type="dxa"/>
            <w:vAlign w:val="center"/>
          </w:tcPr>
          <w:p w14:paraId="304508F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214" w:type="dxa"/>
            <w:vAlign w:val="center"/>
          </w:tcPr>
          <w:p w14:paraId="4DECA364">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707" w:type="dxa"/>
            <w:vAlign w:val="center"/>
          </w:tcPr>
          <w:p w14:paraId="1D076675">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570" w:type="dxa"/>
            <w:vAlign w:val="center"/>
          </w:tcPr>
          <w:p w14:paraId="6D549CB9">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9.9</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3A5BF5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2123" w:type="dxa"/>
            <w:vAlign w:val="center"/>
          </w:tcPr>
          <w:p w14:paraId="44442C21">
            <w:pPr>
              <w:keepNext w:val="0"/>
              <w:keepLines w:val="0"/>
              <w:widowControl/>
              <w:suppressLineNumbers w:val="0"/>
              <w:jc w:val="center"/>
              <w:textAlignment w:val="center"/>
              <w:rPr>
                <w:rFonts w:hint="eastAsia" w:ascii="仿宋" w:hAnsi="仿宋" w:eastAsia="仿宋" w:cs="仿宋"/>
                <w:b w:val="0"/>
                <w:bCs w:val="0"/>
                <w:snapToGrid w:val="0"/>
                <w:color w:val="auto"/>
                <w:spacing w:val="-6"/>
                <w:kern w:val="21"/>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9.9</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64A32F13">
            <w:pPr>
              <w:keepNext w:val="0"/>
              <w:keepLines w:val="0"/>
              <w:widowControl/>
              <w:suppressLineNumbers w:val="0"/>
              <w:jc w:val="center"/>
              <w:textAlignment w:val="center"/>
              <w:rPr>
                <w:rFonts w:hint="eastAsia" w:ascii="仿宋" w:hAnsi="仿宋" w:eastAsia="仿宋" w:cs="仿宋"/>
                <w:b w:val="0"/>
                <w:bCs w:val="0"/>
                <w:snapToGrid w:val="0"/>
                <w:color w:val="auto"/>
                <w:kern w:val="21"/>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+9.9</w:t>
            </w:r>
            <w:r>
              <w:rPr>
                <w:rFonts w:hint="eastAsia" w:ascii="仿宋" w:hAnsi="仿宋" w:eastAsia="仿宋" w:cs="仿宋"/>
                <w:b w:val="0"/>
                <w:bCs w:val="0"/>
                <w:snapToGrid w:val="0"/>
                <w:color w:val="auto"/>
                <w:kern w:val="21"/>
                <w:sz w:val="21"/>
                <w:szCs w:val="21"/>
                <w:lang w:val="en-US" w:eastAsia="zh-CN"/>
              </w:rPr>
              <w:t>t/a</w:t>
            </w:r>
          </w:p>
        </w:tc>
      </w:tr>
      <w:tr w14:paraId="0F2D4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97" w:type="dxa"/>
            <w:vMerge w:val="continue"/>
            <w:vAlign w:val="center"/>
          </w:tcPr>
          <w:p w14:paraId="33EF0FE7">
            <w:pPr>
              <w:jc w:val="center"/>
            </w:pPr>
          </w:p>
        </w:tc>
        <w:tc>
          <w:tcPr>
            <w:tcW w:w="1863" w:type="dxa"/>
            <w:vAlign w:val="center"/>
          </w:tcPr>
          <w:p w14:paraId="0E2124D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不可降解物</w:t>
            </w:r>
          </w:p>
        </w:tc>
        <w:tc>
          <w:tcPr>
            <w:tcW w:w="1725" w:type="dxa"/>
            <w:vAlign w:val="center"/>
          </w:tcPr>
          <w:p w14:paraId="04C5FF9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214" w:type="dxa"/>
            <w:vAlign w:val="center"/>
          </w:tcPr>
          <w:p w14:paraId="61CE7166">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707" w:type="dxa"/>
            <w:vAlign w:val="center"/>
          </w:tcPr>
          <w:p w14:paraId="34234E97">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570" w:type="dxa"/>
            <w:vAlign w:val="center"/>
          </w:tcPr>
          <w:p w14:paraId="2C2A3940">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50</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36887794">
            <w:pPr>
              <w:jc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2123" w:type="dxa"/>
            <w:vAlign w:val="center"/>
          </w:tcPr>
          <w:p w14:paraId="27D3E7DC">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50</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510FDD0D">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+50</w:t>
            </w:r>
            <w:r>
              <w:rPr>
                <w:rFonts w:hint="eastAsia" w:ascii="仿宋" w:hAnsi="仿宋" w:eastAsia="仿宋" w:cs="仿宋"/>
                <w:b w:val="0"/>
                <w:bCs w:val="0"/>
                <w:snapToGrid w:val="0"/>
                <w:color w:val="auto"/>
                <w:kern w:val="21"/>
                <w:sz w:val="21"/>
                <w:szCs w:val="21"/>
                <w:lang w:val="en-US" w:eastAsia="zh-CN"/>
              </w:rPr>
              <w:t>t/a</w:t>
            </w:r>
          </w:p>
        </w:tc>
      </w:tr>
      <w:tr w14:paraId="0FD73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97" w:type="dxa"/>
            <w:vMerge w:val="continue"/>
            <w:vAlign w:val="center"/>
          </w:tcPr>
          <w:p w14:paraId="06FD5300">
            <w:pPr>
              <w:jc w:val="center"/>
              <w:rPr>
                <w:rFonts w:hint="eastAsia" w:ascii="仿宋" w:hAnsi="仿宋" w:eastAsia="仿宋" w:cs="仿宋"/>
                <w:b w:val="0"/>
                <w:bCs w:val="0"/>
                <w:color w:val="auto"/>
                <w:kern w:val="2"/>
                <w:sz w:val="21"/>
                <w:szCs w:val="21"/>
                <w:lang w:val="en-US" w:eastAsia="zh-CN" w:bidi="ar-SA"/>
              </w:rPr>
            </w:pPr>
          </w:p>
        </w:tc>
        <w:tc>
          <w:tcPr>
            <w:tcW w:w="1863" w:type="dxa"/>
            <w:vAlign w:val="center"/>
          </w:tcPr>
          <w:p w14:paraId="4041BC8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废布袋</w:t>
            </w:r>
          </w:p>
        </w:tc>
        <w:tc>
          <w:tcPr>
            <w:tcW w:w="1725" w:type="dxa"/>
            <w:vAlign w:val="center"/>
          </w:tcPr>
          <w:p w14:paraId="64542BD4">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214" w:type="dxa"/>
            <w:vAlign w:val="center"/>
          </w:tcPr>
          <w:p w14:paraId="1B33AC3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707" w:type="dxa"/>
            <w:vAlign w:val="center"/>
          </w:tcPr>
          <w:p w14:paraId="224BBD3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1570" w:type="dxa"/>
            <w:vAlign w:val="center"/>
          </w:tcPr>
          <w:p w14:paraId="275626B1">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0.3</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7E8649A7">
            <w:pPr>
              <w:jc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b w:val="0"/>
                <w:bCs w:val="0"/>
                <w:snapToGrid w:val="0"/>
                <w:color w:val="auto"/>
                <w:kern w:val="21"/>
                <w:sz w:val="21"/>
                <w:szCs w:val="21"/>
              </w:rPr>
              <w:t>/</w:t>
            </w:r>
          </w:p>
        </w:tc>
        <w:tc>
          <w:tcPr>
            <w:tcW w:w="2123" w:type="dxa"/>
            <w:vAlign w:val="center"/>
          </w:tcPr>
          <w:p w14:paraId="6CE0B428">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0.3</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31DE5277">
            <w:pPr>
              <w:keepNext w:val="0"/>
              <w:keepLines w:val="0"/>
              <w:widowControl/>
              <w:suppressLineNumbers w:val="0"/>
              <w:jc w:val="center"/>
              <w:textAlignment w:val="center"/>
              <w:rPr>
                <w:rFonts w:hint="eastAsia" w:ascii="仿宋" w:hAnsi="仿宋" w:eastAsia="仿宋" w:cs="仿宋"/>
                <w:b w:val="0"/>
                <w:bCs w:val="0"/>
                <w:color w:val="auto"/>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+0.3</w:t>
            </w:r>
            <w:r>
              <w:rPr>
                <w:rFonts w:hint="eastAsia" w:ascii="仿宋" w:hAnsi="仿宋" w:eastAsia="仿宋" w:cs="仿宋"/>
                <w:b w:val="0"/>
                <w:bCs w:val="0"/>
                <w:snapToGrid w:val="0"/>
                <w:color w:val="auto"/>
                <w:kern w:val="21"/>
                <w:sz w:val="21"/>
                <w:szCs w:val="21"/>
                <w:lang w:val="en-US" w:eastAsia="zh-CN"/>
              </w:rPr>
              <w:t>t/a</w:t>
            </w:r>
          </w:p>
        </w:tc>
      </w:tr>
      <w:tr w14:paraId="729EB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continue"/>
            <w:vAlign w:val="center"/>
          </w:tcPr>
          <w:p w14:paraId="3811F06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rPr>
            </w:pPr>
          </w:p>
        </w:tc>
        <w:tc>
          <w:tcPr>
            <w:tcW w:w="1863" w:type="dxa"/>
            <w:vAlign w:val="center"/>
          </w:tcPr>
          <w:p w14:paraId="2CF49F2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一般废包装物</w:t>
            </w:r>
          </w:p>
        </w:tc>
        <w:tc>
          <w:tcPr>
            <w:tcW w:w="1725" w:type="dxa"/>
            <w:vAlign w:val="center"/>
          </w:tcPr>
          <w:p w14:paraId="329589C1">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65EF420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27E82F6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6902CDF1">
            <w:pPr>
              <w:keepNext w:val="0"/>
              <w:keepLines w:val="0"/>
              <w:widowControl/>
              <w:suppressLineNumbers w:val="0"/>
              <w:jc w:val="center"/>
              <w:textAlignment w:val="center"/>
              <w:rPr>
                <w:rFonts w:hint="eastAsia" w:ascii="仿宋" w:hAnsi="仿宋" w:eastAsia="仿宋" w:cs="仿宋"/>
                <w:b w:val="0"/>
                <w:bCs w:val="0"/>
                <w:snapToGrid w:val="0"/>
                <w:color w:val="auto"/>
                <w:spacing w:val="-6"/>
                <w:kern w:val="21"/>
                <w:sz w:val="21"/>
                <w:szCs w:val="21"/>
                <w:lang w:val="en-US" w:eastAsia="zh-CN"/>
              </w:rPr>
            </w:pPr>
            <w:r>
              <w:rPr>
                <w:rFonts w:hint="eastAsia" w:ascii="仿宋" w:hAnsi="仿宋" w:eastAsia="仿宋" w:cs="仿宋"/>
                <w:i w:val="0"/>
                <w:iCs w:val="0"/>
                <w:color w:val="000000"/>
                <w:kern w:val="0"/>
                <w:sz w:val="21"/>
                <w:szCs w:val="21"/>
                <w:u w:val="none"/>
                <w:lang w:val="en-US" w:eastAsia="zh-CN" w:bidi="ar"/>
              </w:rPr>
              <w:t>0.22</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724D352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46641891">
            <w:pPr>
              <w:keepNext w:val="0"/>
              <w:keepLines w:val="0"/>
              <w:widowControl/>
              <w:suppressLineNumbers w:val="0"/>
              <w:jc w:val="center"/>
              <w:textAlignment w:val="center"/>
              <w:rPr>
                <w:rFonts w:hint="eastAsia" w:ascii="仿宋" w:hAnsi="仿宋" w:eastAsia="仿宋" w:cs="仿宋"/>
                <w:b w:val="0"/>
                <w:bCs w:val="0"/>
                <w:snapToGrid w:val="0"/>
                <w:color w:val="auto"/>
                <w:spacing w:val="-6"/>
                <w:kern w:val="21"/>
                <w:sz w:val="21"/>
                <w:szCs w:val="21"/>
                <w:lang w:val="en-US" w:eastAsia="zh-CN"/>
              </w:rPr>
            </w:pPr>
            <w:r>
              <w:rPr>
                <w:rFonts w:hint="eastAsia" w:ascii="仿宋" w:hAnsi="仿宋" w:eastAsia="仿宋" w:cs="仿宋"/>
                <w:i w:val="0"/>
                <w:iCs w:val="0"/>
                <w:color w:val="000000"/>
                <w:kern w:val="0"/>
                <w:sz w:val="21"/>
                <w:szCs w:val="21"/>
                <w:u w:val="none"/>
                <w:lang w:val="en-US" w:eastAsia="zh-CN" w:bidi="ar"/>
              </w:rPr>
              <w:t>0.22</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6B064AAD">
            <w:pPr>
              <w:keepNext w:val="0"/>
              <w:keepLines w:val="0"/>
              <w:widowControl/>
              <w:suppressLineNumbers w:val="0"/>
              <w:jc w:val="center"/>
              <w:textAlignment w:val="center"/>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i w:val="0"/>
                <w:iCs w:val="0"/>
                <w:color w:val="000000"/>
                <w:kern w:val="0"/>
                <w:sz w:val="21"/>
                <w:szCs w:val="21"/>
                <w:u w:val="none"/>
                <w:lang w:val="en-US" w:eastAsia="zh-CN" w:bidi="ar"/>
              </w:rPr>
              <w:t>+0.22</w:t>
            </w:r>
            <w:r>
              <w:rPr>
                <w:rFonts w:hint="eastAsia" w:ascii="仿宋" w:hAnsi="仿宋" w:eastAsia="仿宋" w:cs="仿宋"/>
                <w:b w:val="0"/>
                <w:bCs w:val="0"/>
                <w:snapToGrid w:val="0"/>
                <w:color w:val="auto"/>
                <w:kern w:val="21"/>
                <w:sz w:val="21"/>
                <w:szCs w:val="21"/>
                <w:lang w:val="en-US" w:eastAsia="zh-CN"/>
              </w:rPr>
              <w:t>t/a</w:t>
            </w:r>
          </w:p>
        </w:tc>
      </w:tr>
      <w:tr w14:paraId="39E8E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restart"/>
            <w:vAlign w:val="center"/>
          </w:tcPr>
          <w:p w14:paraId="702E6F5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lang w:val="en-US" w:eastAsia="zh-CN"/>
              </w:rPr>
            </w:pPr>
            <w:r>
              <w:rPr>
                <w:rFonts w:hint="eastAsia" w:ascii="仿宋" w:hAnsi="仿宋" w:eastAsia="仿宋" w:cs="仿宋"/>
                <w:b w:val="0"/>
                <w:bCs w:val="0"/>
                <w:snapToGrid w:val="0"/>
                <w:color w:val="auto"/>
                <w:spacing w:val="-6"/>
                <w:kern w:val="21"/>
                <w:sz w:val="21"/>
                <w:szCs w:val="21"/>
                <w:lang w:val="en-US" w:eastAsia="zh-CN"/>
              </w:rPr>
              <w:t>危险废物</w:t>
            </w:r>
          </w:p>
        </w:tc>
        <w:tc>
          <w:tcPr>
            <w:tcW w:w="1863" w:type="dxa"/>
            <w:vAlign w:val="center"/>
          </w:tcPr>
          <w:p w14:paraId="7E577851">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废机油</w:t>
            </w:r>
          </w:p>
        </w:tc>
        <w:tc>
          <w:tcPr>
            <w:tcW w:w="1725" w:type="dxa"/>
            <w:vAlign w:val="center"/>
          </w:tcPr>
          <w:p w14:paraId="182B4ABD">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spacing w:val="-6"/>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41D78750">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75D4B6E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5290CF1B">
            <w:pPr>
              <w:keepNext w:val="0"/>
              <w:keepLines w:val="0"/>
              <w:widowControl/>
              <w:suppressLineNumbers w:val="0"/>
              <w:jc w:val="center"/>
              <w:textAlignment w:val="center"/>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i w:val="0"/>
                <w:iCs w:val="0"/>
                <w:color w:val="000000"/>
                <w:kern w:val="0"/>
                <w:sz w:val="21"/>
                <w:szCs w:val="21"/>
                <w:u w:val="none"/>
                <w:lang w:val="en-US" w:eastAsia="zh-CN" w:bidi="ar"/>
              </w:rPr>
              <w:t>0.1</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31F23A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lang w:val="en-US" w:eastAsia="zh-CN"/>
              </w:rPr>
            </w:pPr>
            <w:r>
              <w:rPr>
                <w:rFonts w:hint="eastAsia" w:ascii="仿宋" w:hAnsi="仿宋" w:eastAsia="仿宋" w:cs="仿宋"/>
                <w:b w:val="0"/>
                <w:bCs w:val="0"/>
                <w:snapToGrid w:val="0"/>
                <w:color w:val="auto"/>
                <w:kern w:val="21"/>
                <w:sz w:val="21"/>
                <w:szCs w:val="21"/>
              </w:rPr>
              <w:t>/</w:t>
            </w:r>
          </w:p>
        </w:tc>
        <w:tc>
          <w:tcPr>
            <w:tcW w:w="2123" w:type="dxa"/>
            <w:vAlign w:val="center"/>
          </w:tcPr>
          <w:p w14:paraId="4F391108">
            <w:pPr>
              <w:keepNext w:val="0"/>
              <w:keepLines w:val="0"/>
              <w:widowControl/>
              <w:suppressLineNumbers w:val="0"/>
              <w:jc w:val="center"/>
              <w:textAlignment w:val="center"/>
              <w:rPr>
                <w:rFonts w:hint="eastAsia" w:ascii="仿宋" w:hAnsi="仿宋" w:eastAsia="仿宋" w:cs="仿宋"/>
                <w:b w:val="0"/>
                <w:bCs w:val="0"/>
                <w:snapToGrid w:val="0"/>
                <w:color w:val="auto"/>
                <w:kern w:val="21"/>
                <w:sz w:val="21"/>
                <w:szCs w:val="21"/>
              </w:rPr>
            </w:pPr>
            <w:r>
              <w:rPr>
                <w:rFonts w:hint="eastAsia" w:ascii="仿宋" w:hAnsi="仿宋" w:eastAsia="仿宋" w:cs="仿宋"/>
                <w:i w:val="0"/>
                <w:iCs w:val="0"/>
                <w:color w:val="000000"/>
                <w:kern w:val="0"/>
                <w:sz w:val="21"/>
                <w:szCs w:val="21"/>
                <w:u w:val="none"/>
                <w:lang w:val="en-US" w:eastAsia="zh-CN" w:bidi="ar"/>
              </w:rPr>
              <w:t>0.1</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76738C1E">
            <w:pPr>
              <w:keepNext w:val="0"/>
              <w:keepLines w:val="0"/>
              <w:widowControl/>
              <w:suppressLineNumbers w:val="0"/>
              <w:jc w:val="center"/>
              <w:textAlignment w:val="center"/>
              <w:rPr>
                <w:rFonts w:hint="eastAsia" w:ascii="仿宋" w:hAnsi="仿宋" w:eastAsia="仿宋" w:cs="仿宋"/>
                <w:b w:val="0"/>
                <w:bCs w:val="0"/>
                <w:snapToGrid w:val="0"/>
                <w:color w:val="auto"/>
                <w:spacing w:val="-6"/>
                <w:kern w:val="21"/>
                <w:sz w:val="21"/>
                <w:szCs w:val="21"/>
                <w:lang w:val="en-US" w:eastAsia="zh-CN"/>
              </w:rPr>
            </w:pPr>
            <w:r>
              <w:rPr>
                <w:rFonts w:hint="eastAsia" w:ascii="仿宋" w:hAnsi="仿宋" w:eastAsia="仿宋" w:cs="仿宋"/>
                <w:i w:val="0"/>
                <w:iCs w:val="0"/>
                <w:color w:val="000000"/>
                <w:kern w:val="0"/>
                <w:sz w:val="21"/>
                <w:szCs w:val="21"/>
                <w:u w:val="none"/>
                <w:lang w:val="en-US" w:eastAsia="zh-CN" w:bidi="ar"/>
              </w:rPr>
              <w:t>+0.1</w:t>
            </w:r>
            <w:r>
              <w:rPr>
                <w:rFonts w:hint="eastAsia" w:ascii="仿宋" w:hAnsi="仿宋" w:eastAsia="仿宋" w:cs="仿宋"/>
                <w:b w:val="0"/>
                <w:bCs w:val="0"/>
                <w:snapToGrid w:val="0"/>
                <w:color w:val="auto"/>
                <w:kern w:val="21"/>
                <w:sz w:val="21"/>
                <w:szCs w:val="21"/>
                <w:lang w:val="en-US" w:eastAsia="zh-CN"/>
              </w:rPr>
              <w:t>t/a</w:t>
            </w:r>
          </w:p>
        </w:tc>
      </w:tr>
      <w:tr w14:paraId="6FC78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continue"/>
            <w:vAlign w:val="center"/>
          </w:tcPr>
          <w:p w14:paraId="66462C9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lang w:val="en-US" w:eastAsia="zh-CN"/>
              </w:rPr>
            </w:pPr>
          </w:p>
        </w:tc>
        <w:tc>
          <w:tcPr>
            <w:tcW w:w="1863" w:type="dxa"/>
            <w:vAlign w:val="center"/>
          </w:tcPr>
          <w:p w14:paraId="56672C76">
            <w:pPr>
              <w:keepNext w:val="0"/>
              <w:keepLines w:val="0"/>
              <w:widowControl/>
              <w:suppressLineNumbers w:val="0"/>
              <w:jc w:val="center"/>
              <w:textAlignment w:val="center"/>
              <w:rPr>
                <w:rFonts w:hint="eastAsia" w:ascii="仿宋" w:hAnsi="仿宋" w:eastAsia="仿宋" w:cs="仿宋"/>
                <w:b w:val="0"/>
                <w:bCs w:val="0"/>
                <w:color w:val="auto"/>
                <w:sz w:val="21"/>
                <w:szCs w:val="21"/>
                <w:lang w:val="en-US" w:eastAsia="zh-CN"/>
              </w:rPr>
            </w:pPr>
            <w:r>
              <w:rPr>
                <w:rFonts w:hint="eastAsia" w:ascii="仿宋" w:hAnsi="仿宋" w:eastAsia="仿宋" w:cs="仿宋"/>
                <w:i w:val="0"/>
                <w:iCs w:val="0"/>
                <w:color w:val="000000"/>
                <w:kern w:val="0"/>
                <w:sz w:val="21"/>
                <w:szCs w:val="21"/>
                <w:u w:val="none"/>
                <w:lang w:val="en-US" w:eastAsia="zh-CN" w:bidi="ar"/>
              </w:rPr>
              <w:t>废油桶</w:t>
            </w:r>
          </w:p>
        </w:tc>
        <w:tc>
          <w:tcPr>
            <w:tcW w:w="1725" w:type="dxa"/>
            <w:vAlign w:val="center"/>
          </w:tcPr>
          <w:p w14:paraId="21499DE4">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548916DE">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7F1B5E9F">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15535BEF">
            <w:pPr>
              <w:keepNext w:val="0"/>
              <w:keepLines w:val="0"/>
              <w:widowControl/>
              <w:suppressLineNumbers w:val="0"/>
              <w:jc w:val="center"/>
              <w:textAlignment w:val="center"/>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0.05</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529D2CB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6E2A8280">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0.05</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11BAACCC">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+0.05</w:t>
            </w:r>
            <w:r>
              <w:rPr>
                <w:rFonts w:hint="eastAsia" w:ascii="仿宋" w:hAnsi="仿宋" w:eastAsia="仿宋" w:cs="仿宋"/>
                <w:b w:val="0"/>
                <w:bCs w:val="0"/>
                <w:snapToGrid w:val="0"/>
                <w:color w:val="auto"/>
                <w:kern w:val="21"/>
                <w:sz w:val="21"/>
                <w:szCs w:val="21"/>
                <w:lang w:val="en-US" w:eastAsia="zh-CN"/>
              </w:rPr>
              <w:t>t/a</w:t>
            </w:r>
          </w:p>
        </w:tc>
      </w:tr>
      <w:tr w14:paraId="3FD40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7" w:type="dxa"/>
            <w:vMerge w:val="continue"/>
            <w:vAlign w:val="center"/>
          </w:tcPr>
          <w:p w14:paraId="0ABBBE47">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eastAsia" w:ascii="仿宋" w:hAnsi="仿宋" w:eastAsia="仿宋" w:cs="仿宋"/>
                <w:b w:val="0"/>
                <w:bCs w:val="0"/>
                <w:snapToGrid w:val="0"/>
                <w:color w:val="auto"/>
                <w:spacing w:val="-6"/>
                <w:kern w:val="21"/>
                <w:sz w:val="21"/>
                <w:szCs w:val="21"/>
                <w:lang w:val="en-US" w:eastAsia="zh-CN"/>
              </w:rPr>
            </w:pPr>
          </w:p>
        </w:tc>
        <w:tc>
          <w:tcPr>
            <w:tcW w:w="1863" w:type="dxa"/>
            <w:vAlign w:val="center"/>
          </w:tcPr>
          <w:p w14:paraId="0DD2664D">
            <w:pPr>
              <w:keepNext w:val="0"/>
              <w:keepLines w:val="0"/>
              <w:widowControl/>
              <w:suppressLineNumbers w:val="0"/>
              <w:jc w:val="center"/>
              <w:textAlignment w:val="center"/>
              <w:rPr>
                <w:rFonts w:hint="eastAsia" w:ascii="仿宋" w:hAnsi="仿宋" w:eastAsia="仿宋" w:cs="仿宋"/>
                <w:b w:val="0"/>
                <w:bCs w:val="0"/>
                <w:color w:val="auto"/>
                <w:sz w:val="21"/>
                <w:szCs w:val="21"/>
                <w:lang w:val="en-US" w:eastAsia="zh-CN"/>
              </w:rPr>
            </w:pPr>
            <w:r>
              <w:rPr>
                <w:rFonts w:hint="eastAsia" w:ascii="仿宋" w:hAnsi="仿宋" w:eastAsia="仿宋" w:cs="仿宋"/>
                <w:i w:val="0"/>
                <w:iCs w:val="0"/>
                <w:color w:val="000000"/>
                <w:kern w:val="0"/>
                <w:sz w:val="21"/>
                <w:szCs w:val="21"/>
                <w:u w:val="none"/>
                <w:lang w:val="en-US" w:eastAsia="zh-CN" w:bidi="ar"/>
              </w:rPr>
              <w:t>废含油抹布及手套</w:t>
            </w:r>
          </w:p>
        </w:tc>
        <w:tc>
          <w:tcPr>
            <w:tcW w:w="1725" w:type="dxa"/>
            <w:vAlign w:val="center"/>
          </w:tcPr>
          <w:p w14:paraId="1CDE3C46">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214" w:type="dxa"/>
            <w:vAlign w:val="center"/>
          </w:tcPr>
          <w:p w14:paraId="674233A3">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707" w:type="dxa"/>
            <w:vAlign w:val="center"/>
          </w:tcPr>
          <w:p w14:paraId="6FAC60F8">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1570" w:type="dxa"/>
            <w:vAlign w:val="center"/>
          </w:tcPr>
          <w:p w14:paraId="0F378480">
            <w:pPr>
              <w:keepNext w:val="0"/>
              <w:keepLines w:val="0"/>
              <w:widowControl/>
              <w:suppressLineNumbers w:val="0"/>
              <w:jc w:val="center"/>
              <w:textAlignment w:val="center"/>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0.02</w:t>
            </w:r>
            <w:r>
              <w:rPr>
                <w:rFonts w:hint="eastAsia" w:ascii="仿宋" w:hAnsi="仿宋" w:eastAsia="仿宋" w:cs="仿宋"/>
                <w:b w:val="0"/>
                <w:bCs w:val="0"/>
                <w:snapToGrid w:val="0"/>
                <w:color w:val="auto"/>
                <w:kern w:val="21"/>
                <w:sz w:val="21"/>
                <w:szCs w:val="21"/>
                <w:lang w:val="en-US" w:eastAsia="zh-CN"/>
              </w:rPr>
              <w:t>t/a</w:t>
            </w:r>
          </w:p>
        </w:tc>
        <w:tc>
          <w:tcPr>
            <w:tcW w:w="1523" w:type="dxa"/>
            <w:vAlign w:val="center"/>
          </w:tcPr>
          <w:p w14:paraId="1913835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val="0"/>
                <w:bCs w:val="0"/>
                <w:snapToGrid w:val="0"/>
                <w:color w:val="auto"/>
                <w:kern w:val="21"/>
                <w:sz w:val="21"/>
                <w:szCs w:val="21"/>
              </w:rPr>
            </w:pPr>
            <w:r>
              <w:rPr>
                <w:rFonts w:hint="eastAsia" w:ascii="仿宋" w:hAnsi="仿宋" w:eastAsia="仿宋" w:cs="仿宋"/>
                <w:b w:val="0"/>
                <w:bCs w:val="0"/>
                <w:snapToGrid w:val="0"/>
                <w:color w:val="auto"/>
                <w:kern w:val="21"/>
                <w:sz w:val="21"/>
                <w:szCs w:val="21"/>
              </w:rPr>
              <w:t>/</w:t>
            </w:r>
          </w:p>
        </w:tc>
        <w:tc>
          <w:tcPr>
            <w:tcW w:w="2123" w:type="dxa"/>
            <w:vAlign w:val="center"/>
          </w:tcPr>
          <w:p w14:paraId="13BB171A">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0.02</w:t>
            </w:r>
            <w:r>
              <w:rPr>
                <w:rFonts w:hint="eastAsia" w:ascii="仿宋" w:hAnsi="仿宋" w:eastAsia="仿宋" w:cs="仿宋"/>
                <w:b w:val="0"/>
                <w:bCs w:val="0"/>
                <w:snapToGrid w:val="0"/>
                <w:color w:val="auto"/>
                <w:kern w:val="21"/>
                <w:sz w:val="21"/>
                <w:szCs w:val="21"/>
                <w:lang w:val="en-US" w:eastAsia="zh-CN"/>
              </w:rPr>
              <w:t>t/a</w:t>
            </w:r>
          </w:p>
        </w:tc>
        <w:tc>
          <w:tcPr>
            <w:tcW w:w="1351" w:type="dxa"/>
            <w:vAlign w:val="center"/>
          </w:tcPr>
          <w:p w14:paraId="72D0FDC4">
            <w:pPr>
              <w:keepNext w:val="0"/>
              <w:keepLines w:val="0"/>
              <w:widowControl/>
              <w:suppressLineNumbers w:val="0"/>
              <w:jc w:val="center"/>
              <w:textAlignment w:val="center"/>
              <w:rPr>
                <w:rFonts w:hint="eastAsia" w:ascii="仿宋" w:hAnsi="仿宋" w:eastAsia="仿宋" w:cs="仿宋"/>
                <w:b w:val="0"/>
                <w:bCs w:val="0"/>
                <w:snapToGrid w:val="0"/>
                <w:color w:val="auto"/>
                <w:kern w:val="0"/>
                <w:sz w:val="21"/>
                <w:szCs w:val="21"/>
                <w:lang w:val="en-US" w:eastAsia="zh-CN"/>
              </w:rPr>
            </w:pPr>
            <w:r>
              <w:rPr>
                <w:rFonts w:hint="eastAsia" w:ascii="仿宋" w:hAnsi="仿宋" w:eastAsia="仿宋" w:cs="仿宋"/>
                <w:i w:val="0"/>
                <w:iCs w:val="0"/>
                <w:color w:val="000000"/>
                <w:kern w:val="0"/>
                <w:sz w:val="21"/>
                <w:szCs w:val="21"/>
                <w:u w:val="none"/>
                <w:lang w:val="en-US" w:eastAsia="zh-CN" w:bidi="ar"/>
              </w:rPr>
              <w:t>+0.02</w:t>
            </w:r>
            <w:r>
              <w:rPr>
                <w:rFonts w:hint="eastAsia" w:ascii="仿宋" w:hAnsi="仿宋" w:eastAsia="仿宋" w:cs="仿宋"/>
                <w:b w:val="0"/>
                <w:bCs w:val="0"/>
                <w:snapToGrid w:val="0"/>
                <w:color w:val="auto"/>
                <w:kern w:val="21"/>
                <w:sz w:val="21"/>
                <w:szCs w:val="21"/>
                <w:lang w:val="en-US" w:eastAsia="zh-CN"/>
              </w:rPr>
              <w:t>t/a</w:t>
            </w:r>
          </w:p>
        </w:tc>
      </w:tr>
    </w:tbl>
    <w:p w14:paraId="6A63DC1F">
      <w:pPr>
        <w:rPr>
          <w:rFonts w:hint="eastAsia" w:ascii="仿宋" w:hAnsi="仿宋" w:eastAsia="仿宋" w:cs="仿宋"/>
          <w:snapToGrid w:val="0"/>
          <w:color w:val="auto"/>
          <w:spacing w:val="-6"/>
          <w:kern w:val="21"/>
          <w:szCs w:val="21"/>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仿宋"/>
          <w:snapToGrid w:val="0"/>
          <w:color w:val="auto"/>
          <w:kern w:val="21"/>
          <w:szCs w:val="21"/>
        </w:rPr>
        <w:t>注：</w:t>
      </w:r>
      <w:r>
        <w:rPr>
          <w:rFonts w:hint="eastAsia" w:ascii="仿宋" w:hAnsi="仿宋" w:eastAsia="仿宋" w:cs="仿宋"/>
          <w:snapToGrid w:val="0"/>
          <w:color w:val="auto"/>
          <w:spacing w:val="-16"/>
          <w:kern w:val="21"/>
          <w:szCs w:val="21"/>
        </w:rPr>
        <w:fldChar w:fldCharType="begin"/>
      </w:r>
      <w:r>
        <w:rPr>
          <w:rFonts w:hint="eastAsia" w:ascii="仿宋" w:hAnsi="仿宋" w:eastAsia="仿宋" w:cs="仿宋"/>
          <w:snapToGrid w:val="0"/>
          <w:color w:val="auto"/>
          <w:spacing w:val="-16"/>
          <w:kern w:val="21"/>
          <w:szCs w:val="21"/>
        </w:rPr>
        <w:instrText xml:space="preserve"> = 6 \* GB3 \* MERGEFORMAT </w:instrText>
      </w:r>
      <w:r>
        <w:rPr>
          <w:rFonts w:hint="eastAsia" w:ascii="仿宋" w:hAnsi="仿宋" w:eastAsia="仿宋" w:cs="仿宋"/>
          <w:snapToGrid w:val="0"/>
          <w:color w:val="auto"/>
          <w:spacing w:val="-16"/>
          <w:kern w:val="21"/>
          <w:szCs w:val="21"/>
        </w:rPr>
        <w:fldChar w:fldCharType="separate"/>
      </w:r>
      <w:r>
        <w:rPr>
          <w:rFonts w:hint="eastAsia" w:ascii="仿宋" w:hAnsi="仿宋" w:eastAsia="仿宋" w:cs="仿宋"/>
          <w:color w:val="auto"/>
          <w:szCs w:val="21"/>
        </w:rPr>
        <w:t>⑥</w:t>
      </w:r>
      <w:r>
        <w:rPr>
          <w:rFonts w:hint="eastAsia" w:ascii="仿宋" w:hAnsi="仿宋" w:eastAsia="仿宋" w:cs="仿宋"/>
          <w:snapToGrid w:val="0"/>
          <w:color w:val="auto"/>
          <w:spacing w:val="-16"/>
          <w:kern w:val="21"/>
          <w:szCs w:val="21"/>
        </w:rPr>
        <w:fldChar w:fldCharType="end"/>
      </w:r>
      <w:r>
        <w:rPr>
          <w:rFonts w:hint="eastAsia" w:ascii="仿宋" w:hAnsi="仿宋" w:eastAsia="仿宋" w:cs="仿宋"/>
          <w:snapToGrid w:val="0"/>
          <w:color w:val="auto"/>
          <w:spacing w:val="-16"/>
          <w:kern w:val="21"/>
          <w:szCs w:val="21"/>
        </w:rPr>
        <w:t>=</w:t>
      </w:r>
      <w:r>
        <w:rPr>
          <w:rFonts w:hint="eastAsia" w:ascii="仿宋" w:hAnsi="仿宋" w:eastAsia="仿宋" w:cs="仿宋"/>
          <w:snapToGrid w:val="0"/>
          <w:color w:val="auto"/>
          <w:spacing w:val="-6"/>
          <w:kern w:val="21"/>
          <w:szCs w:val="21"/>
        </w:rPr>
        <w:fldChar w:fldCharType="begin"/>
      </w:r>
      <w:r>
        <w:rPr>
          <w:rFonts w:hint="eastAsia" w:ascii="仿宋" w:hAnsi="仿宋" w:eastAsia="仿宋" w:cs="仿宋"/>
          <w:snapToGrid w:val="0"/>
          <w:color w:val="auto"/>
          <w:spacing w:val="-6"/>
          <w:kern w:val="21"/>
          <w:szCs w:val="21"/>
        </w:rPr>
        <w:instrText xml:space="preserve"> = 1 \* GB3 \* MERGEFORMAT </w:instrText>
      </w:r>
      <w:r>
        <w:rPr>
          <w:rFonts w:hint="eastAsia" w:ascii="仿宋" w:hAnsi="仿宋" w:eastAsia="仿宋" w:cs="仿宋"/>
          <w:snapToGrid w:val="0"/>
          <w:color w:val="auto"/>
          <w:spacing w:val="-6"/>
          <w:kern w:val="21"/>
          <w:szCs w:val="21"/>
        </w:rPr>
        <w:fldChar w:fldCharType="separate"/>
      </w:r>
      <w:r>
        <w:rPr>
          <w:rFonts w:hint="eastAsia" w:ascii="仿宋" w:hAnsi="仿宋" w:eastAsia="仿宋" w:cs="仿宋"/>
          <w:color w:val="auto"/>
          <w:szCs w:val="21"/>
        </w:rPr>
        <w:t>①</w:t>
      </w:r>
      <w:r>
        <w:rPr>
          <w:rFonts w:hint="eastAsia" w:ascii="仿宋" w:hAnsi="仿宋" w:eastAsia="仿宋" w:cs="仿宋"/>
          <w:snapToGrid w:val="0"/>
          <w:color w:val="auto"/>
          <w:spacing w:val="-6"/>
          <w:kern w:val="21"/>
          <w:szCs w:val="21"/>
        </w:rPr>
        <w:fldChar w:fldCharType="end"/>
      </w:r>
      <w:r>
        <w:rPr>
          <w:rFonts w:hint="eastAsia" w:ascii="仿宋" w:hAnsi="仿宋" w:eastAsia="仿宋" w:cs="仿宋"/>
          <w:snapToGrid w:val="0"/>
          <w:color w:val="auto"/>
          <w:spacing w:val="-6"/>
          <w:kern w:val="21"/>
          <w:szCs w:val="21"/>
        </w:rPr>
        <w:t>+</w:t>
      </w:r>
      <w:r>
        <w:rPr>
          <w:rFonts w:hint="eastAsia" w:ascii="仿宋" w:hAnsi="仿宋" w:eastAsia="仿宋" w:cs="仿宋"/>
          <w:snapToGrid w:val="0"/>
          <w:color w:val="auto"/>
          <w:spacing w:val="-6"/>
          <w:kern w:val="21"/>
          <w:szCs w:val="21"/>
        </w:rPr>
        <w:fldChar w:fldCharType="begin"/>
      </w:r>
      <w:r>
        <w:rPr>
          <w:rFonts w:hint="eastAsia" w:ascii="仿宋" w:hAnsi="仿宋" w:eastAsia="仿宋" w:cs="仿宋"/>
          <w:snapToGrid w:val="0"/>
          <w:color w:val="auto"/>
          <w:spacing w:val="-6"/>
          <w:kern w:val="21"/>
          <w:szCs w:val="21"/>
        </w:rPr>
        <w:instrText xml:space="preserve"> = 3 \* GB3 \* MERGEFORMAT </w:instrText>
      </w:r>
      <w:r>
        <w:rPr>
          <w:rFonts w:hint="eastAsia" w:ascii="仿宋" w:hAnsi="仿宋" w:eastAsia="仿宋" w:cs="仿宋"/>
          <w:snapToGrid w:val="0"/>
          <w:color w:val="auto"/>
          <w:spacing w:val="-6"/>
          <w:kern w:val="21"/>
          <w:szCs w:val="21"/>
        </w:rPr>
        <w:fldChar w:fldCharType="separate"/>
      </w:r>
      <w:r>
        <w:rPr>
          <w:rFonts w:hint="eastAsia" w:ascii="仿宋" w:hAnsi="仿宋" w:eastAsia="仿宋" w:cs="仿宋"/>
          <w:color w:val="auto"/>
          <w:szCs w:val="21"/>
        </w:rPr>
        <w:t>③</w:t>
      </w:r>
      <w:r>
        <w:rPr>
          <w:rFonts w:hint="eastAsia" w:ascii="仿宋" w:hAnsi="仿宋" w:eastAsia="仿宋" w:cs="仿宋"/>
          <w:snapToGrid w:val="0"/>
          <w:color w:val="auto"/>
          <w:spacing w:val="-6"/>
          <w:kern w:val="21"/>
          <w:szCs w:val="21"/>
        </w:rPr>
        <w:fldChar w:fldCharType="end"/>
      </w:r>
      <w:r>
        <w:rPr>
          <w:rFonts w:hint="eastAsia" w:ascii="仿宋" w:hAnsi="仿宋" w:eastAsia="仿宋" w:cs="仿宋"/>
          <w:snapToGrid w:val="0"/>
          <w:color w:val="auto"/>
          <w:spacing w:val="-6"/>
          <w:kern w:val="21"/>
          <w:szCs w:val="21"/>
        </w:rPr>
        <w:t>+</w:t>
      </w:r>
      <w:r>
        <w:rPr>
          <w:rFonts w:hint="eastAsia" w:ascii="仿宋" w:hAnsi="仿宋" w:eastAsia="仿宋" w:cs="仿宋"/>
          <w:snapToGrid w:val="0"/>
          <w:color w:val="auto"/>
          <w:spacing w:val="-6"/>
          <w:kern w:val="21"/>
          <w:szCs w:val="21"/>
        </w:rPr>
        <w:fldChar w:fldCharType="begin"/>
      </w:r>
      <w:r>
        <w:rPr>
          <w:rFonts w:hint="eastAsia" w:ascii="仿宋" w:hAnsi="仿宋" w:eastAsia="仿宋" w:cs="仿宋"/>
          <w:snapToGrid w:val="0"/>
          <w:color w:val="auto"/>
          <w:spacing w:val="-6"/>
          <w:kern w:val="21"/>
          <w:szCs w:val="21"/>
        </w:rPr>
        <w:instrText xml:space="preserve"> = 4 \* GB3 \* MERGEFORMAT </w:instrText>
      </w:r>
      <w:r>
        <w:rPr>
          <w:rFonts w:hint="eastAsia" w:ascii="仿宋" w:hAnsi="仿宋" w:eastAsia="仿宋" w:cs="仿宋"/>
          <w:snapToGrid w:val="0"/>
          <w:color w:val="auto"/>
          <w:spacing w:val="-6"/>
          <w:kern w:val="21"/>
          <w:szCs w:val="21"/>
        </w:rPr>
        <w:fldChar w:fldCharType="separate"/>
      </w:r>
      <w:r>
        <w:rPr>
          <w:rFonts w:hint="eastAsia" w:ascii="仿宋" w:hAnsi="仿宋" w:eastAsia="仿宋" w:cs="仿宋"/>
          <w:color w:val="auto"/>
          <w:szCs w:val="21"/>
        </w:rPr>
        <w:t>④</w:t>
      </w:r>
      <w:r>
        <w:rPr>
          <w:rFonts w:hint="eastAsia" w:ascii="仿宋" w:hAnsi="仿宋" w:eastAsia="仿宋" w:cs="仿宋"/>
          <w:snapToGrid w:val="0"/>
          <w:color w:val="auto"/>
          <w:spacing w:val="-6"/>
          <w:kern w:val="21"/>
          <w:szCs w:val="21"/>
        </w:rPr>
        <w:fldChar w:fldCharType="end"/>
      </w:r>
      <w:r>
        <w:rPr>
          <w:rFonts w:hint="eastAsia" w:ascii="仿宋" w:hAnsi="仿宋" w:eastAsia="仿宋" w:cs="仿宋"/>
          <w:snapToGrid w:val="0"/>
          <w:color w:val="auto"/>
          <w:spacing w:val="-6"/>
          <w:kern w:val="21"/>
          <w:szCs w:val="21"/>
        </w:rPr>
        <w:t>-</w:t>
      </w:r>
      <w:r>
        <w:rPr>
          <w:rFonts w:hint="eastAsia" w:ascii="仿宋" w:hAnsi="仿宋" w:eastAsia="仿宋" w:cs="仿宋"/>
          <w:snapToGrid w:val="0"/>
          <w:color w:val="auto"/>
          <w:spacing w:val="-16"/>
          <w:kern w:val="21"/>
          <w:szCs w:val="21"/>
        </w:rPr>
        <w:fldChar w:fldCharType="begin"/>
      </w:r>
      <w:r>
        <w:rPr>
          <w:rFonts w:hint="eastAsia" w:ascii="仿宋" w:hAnsi="仿宋" w:eastAsia="仿宋" w:cs="仿宋"/>
          <w:snapToGrid w:val="0"/>
          <w:color w:val="auto"/>
          <w:spacing w:val="-16"/>
          <w:kern w:val="21"/>
          <w:szCs w:val="21"/>
        </w:rPr>
        <w:instrText xml:space="preserve"> = 5 \* GB3 \* MERGEFORMAT </w:instrText>
      </w:r>
      <w:r>
        <w:rPr>
          <w:rFonts w:hint="eastAsia" w:ascii="仿宋" w:hAnsi="仿宋" w:eastAsia="仿宋" w:cs="仿宋"/>
          <w:snapToGrid w:val="0"/>
          <w:color w:val="auto"/>
          <w:spacing w:val="-16"/>
          <w:kern w:val="21"/>
          <w:szCs w:val="21"/>
        </w:rPr>
        <w:fldChar w:fldCharType="separate"/>
      </w:r>
      <w:r>
        <w:rPr>
          <w:rFonts w:hint="eastAsia" w:ascii="仿宋" w:hAnsi="仿宋" w:eastAsia="仿宋" w:cs="仿宋"/>
          <w:color w:val="auto"/>
          <w:szCs w:val="21"/>
        </w:rPr>
        <w:t>⑤</w:t>
      </w:r>
      <w:r>
        <w:rPr>
          <w:rFonts w:hint="eastAsia" w:ascii="仿宋" w:hAnsi="仿宋" w:eastAsia="仿宋" w:cs="仿宋"/>
          <w:snapToGrid w:val="0"/>
          <w:color w:val="auto"/>
          <w:spacing w:val="-16"/>
          <w:kern w:val="21"/>
          <w:szCs w:val="21"/>
        </w:rPr>
        <w:fldChar w:fldCharType="end"/>
      </w:r>
      <w:r>
        <w:rPr>
          <w:rFonts w:hint="eastAsia" w:ascii="仿宋" w:hAnsi="仿宋" w:eastAsia="仿宋" w:cs="仿宋"/>
          <w:snapToGrid w:val="0"/>
          <w:color w:val="auto"/>
          <w:spacing w:val="-16"/>
          <w:kern w:val="21"/>
          <w:szCs w:val="21"/>
        </w:rPr>
        <w:t>；</w:t>
      </w:r>
      <w:r>
        <w:rPr>
          <w:rFonts w:hint="eastAsia" w:ascii="仿宋" w:hAnsi="仿宋" w:eastAsia="仿宋" w:cs="仿宋"/>
          <w:snapToGrid w:val="0"/>
          <w:color w:val="auto"/>
          <w:spacing w:val="-6"/>
          <w:kern w:val="21"/>
          <w:szCs w:val="21"/>
        </w:rPr>
        <w:fldChar w:fldCharType="begin"/>
      </w:r>
      <w:r>
        <w:rPr>
          <w:rFonts w:hint="eastAsia" w:ascii="仿宋" w:hAnsi="仿宋" w:eastAsia="仿宋" w:cs="仿宋"/>
          <w:snapToGrid w:val="0"/>
          <w:color w:val="auto"/>
          <w:spacing w:val="-6"/>
          <w:kern w:val="21"/>
          <w:szCs w:val="21"/>
        </w:rPr>
        <w:instrText xml:space="preserve"> = 7 \* GB3 \* MERGEFORMAT </w:instrText>
      </w:r>
      <w:r>
        <w:rPr>
          <w:rFonts w:hint="eastAsia" w:ascii="仿宋" w:hAnsi="仿宋" w:eastAsia="仿宋" w:cs="仿宋"/>
          <w:snapToGrid w:val="0"/>
          <w:color w:val="auto"/>
          <w:spacing w:val="-6"/>
          <w:kern w:val="21"/>
          <w:szCs w:val="21"/>
        </w:rPr>
        <w:fldChar w:fldCharType="separate"/>
      </w:r>
      <w:r>
        <w:rPr>
          <w:rFonts w:hint="eastAsia" w:ascii="仿宋" w:hAnsi="仿宋" w:eastAsia="仿宋" w:cs="仿宋"/>
          <w:color w:val="auto"/>
          <w:szCs w:val="21"/>
        </w:rPr>
        <w:t>⑦</w:t>
      </w:r>
      <w:r>
        <w:rPr>
          <w:rFonts w:hint="eastAsia" w:ascii="仿宋" w:hAnsi="仿宋" w:eastAsia="仿宋" w:cs="仿宋"/>
          <w:snapToGrid w:val="0"/>
          <w:color w:val="auto"/>
          <w:spacing w:val="-6"/>
          <w:kern w:val="21"/>
          <w:szCs w:val="21"/>
        </w:rPr>
        <w:fldChar w:fldCharType="end"/>
      </w:r>
      <w:r>
        <w:rPr>
          <w:rFonts w:hint="eastAsia" w:ascii="仿宋" w:hAnsi="仿宋" w:eastAsia="仿宋" w:cs="仿宋"/>
          <w:snapToGrid w:val="0"/>
          <w:color w:val="auto"/>
          <w:spacing w:val="-6"/>
          <w:kern w:val="21"/>
          <w:szCs w:val="21"/>
        </w:rPr>
        <w:t>=</w:t>
      </w:r>
      <w:r>
        <w:rPr>
          <w:rFonts w:hint="eastAsia" w:ascii="仿宋" w:hAnsi="仿宋" w:eastAsia="仿宋" w:cs="仿宋"/>
          <w:snapToGrid w:val="0"/>
          <w:color w:val="auto"/>
          <w:spacing w:val="-16"/>
          <w:kern w:val="21"/>
          <w:szCs w:val="21"/>
        </w:rPr>
        <w:fldChar w:fldCharType="begin"/>
      </w:r>
      <w:r>
        <w:rPr>
          <w:rFonts w:hint="eastAsia" w:ascii="仿宋" w:hAnsi="仿宋" w:eastAsia="仿宋" w:cs="仿宋"/>
          <w:snapToGrid w:val="0"/>
          <w:color w:val="auto"/>
          <w:spacing w:val="-16"/>
          <w:kern w:val="21"/>
          <w:szCs w:val="21"/>
        </w:rPr>
        <w:instrText xml:space="preserve"> = 6 \* GB3 \* MERGEFORMAT </w:instrText>
      </w:r>
      <w:r>
        <w:rPr>
          <w:rFonts w:hint="eastAsia" w:ascii="仿宋" w:hAnsi="仿宋" w:eastAsia="仿宋" w:cs="仿宋"/>
          <w:snapToGrid w:val="0"/>
          <w:color w:val="auto"/>
          <w:spacing w:val="-16"/>
          <w:kern w:val="21"/>
          <w:szCs w:val="21"/>
        </w:rPr>
        <w:fldChar w:fldCharType="separate"/>
      </w:r>
      <w:r>
        <w:rPr>
          <w:rFonts w:hint="eastAsia" w:ascii="仿宋" w:hAnsi="仿宋" w:eastAsia="仿宋" w:cs="仿宋"/>
          <w:color w:val="auto"/>
          <w:szCs w:val="21"/>
        </w:rPr>
        <w:t>⑥</w:t>
      </w:r>
      <w:r>
        <w:rPr>
          <w:rFonts w:hint="eastAsia" w:ascii="仿宋" w:hAnsi="仿宋" w:eastAsia="仿宋" w:cs="仿宋"/>
          <w:snapToGrid w:val="0"/>
          <w:color w:val="auto"/>
          <w:spacing w:val="-16"/>
          <w:kern w:val="21"/>
          <w:szCs w:val="21"/>
        </w:rPr>
        <w:fldChar w:fldCharType="end"/>
      </w:r>
      <w:r>
        <w:rPr>
          <w:rFonts w:hint="eastAsia" w:ascii="仿宋" w:hAnsi="仿宋" w:eastAsia="仿宋" w:cs="仿宋"/>
          <w:snapToGrid w:val="0"/>
          <w:color w:val="auto"/>
          <w:spacing w:val="-16"/>
          <w:kern w:val="21"/>
          <w:szCs w:val="21"/>
        </w:rPr>
        <w:t>-</w:t>
      </w:r>
      <w:r>
        <w:rPr>
          <w:rFonts w:hint="eastAsia" w:ascii="仿宋" w:hAnsi="仿宋" w:eastAsia="仿宋" w:cs="仿宋"/>
          <w:snapToGrid w:val="0"/>
          <w:color w:val="auto"/>
          <w:spacing w:val="-6"/>
          <w:kern w:val="21"/>
          <w:szCs w:val="21"/>
        </w:rPr>
        <w:fldChar w:fldCharType="begin"/>
      </w:r>
      <w:r>
        <w:rPr>
          <w:rFonts w:hint="eastAsia" w:ascii="仿宋" w:hAnsi="仿宋" w:eastAsia="仿宋" w:cs="仿宋"/>
          <w:snapToGrid w:val="0"/>
          <w:color w:val="auto"/>
          <w:spacing w:val="-6"/>
          <w:kern w:val="21"/>
          <w:szCs w:val="21"/>
        </w:rPr>
        <w:instrText xml:space="preserve"> = 1 \* GB3 \* MERGEFORMAT </w:instrText>
      </w:r>
      <w:r>
        <w:rPr>
          <w:rFonts w:hint="eastAsia" w:ascii="仿宋" w:hAnsi="仿宋" w:eastAsia="仿宋" w:cs="仿宋"/>
          <w:snapToGrid w:val="0"/>
          <w:color w:val="auto"/>
          <w:spacing w:val="-6"/>
          <w:kern w:val="21"/>
          <w:szCs w:val="21"/>
        </w:rPr>
        <w:fldChar w:fldCharType="separate"/>
      </w:r>
      <w:r>
        <w:rPr>
          <w:rFonts w:hint="eastAsia" w:ascii="仿宋" w:hAnsi="仿宋" w:eastAsia="仿宋" w:cs="仿宋"/>
          <w:color w:val="auto"/>
          <w:szCs w:val="21"/>
        </w:rPr>
        <w:t>①</w:t>
      </w:r>
      <w:r>
        <w:rPr>
          <w:rFonts w:hint="eastAsia" w:ascii="仿宋" w:hAnsi="仿宋" w:eastAsia="仿宋" w:cs="仿宋"/>
          <w:snapToGrid w:val="0"/>
          <w:color w:val="auto"/>
          <w:spacing w:val="-6"/>
          <w:kern w:val="21"/>
          <w:szCs w:val="21"/>
        </w:rPr>
        <w:fldChar w:fldCharType="end"/>
      </w:r>
    </w:p>
    <w:p w14:paraId="1D809745">
      <w:pPr>
        <w:rPr>
          <w:rFonts w:hint="eastAsia" w:ascii="仿宋" w:hAnsi="仿宋" w:eastAsia="仿宋" w:cs="仿宋"/>
          <w:snapToGrid w:val="0"/>
          <w:color w:val="auto"/>
          <w:spacing w:val="-6"/>
          <w:kern w:val="21"/>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0BE1F">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6D76C">
    <w:pPr>
      <w:pStyle w:val="17"/>
      <w:framePr w:wrap="around" w:vAnchor="text" w:hAnchor="page" w:x="5476" w:y="44"/>
      <w:spacing w:line="220" w:lineRule="exact"/>
      <w:rPr>
        <w:rStyle w:val="36"/>
        <w:rFonts w:ascii="宋体" w:hAnsi="宋体"/>
        <w:sz w:val="28"/>
        <w:szCs w:val="28"/>
      </w:rPr>
    </w:pPr>
    <w:r>
      <w:rPr>
        <w:rStyle w:val="36"/>
        <w:rFonts w:hint="eastAsia" w:ascii="宋体" w:hAnsi="宋体"/>
        <w:sz w:val="28"/>
        <w:szCs w:val="28"/>
      </w:rPr>
      <w:t xml:space="preserve">- </w:t>
    </w:r>
    <w:r>
      <w:rPr>
        <w:rStyle w:val="36"/>
        <w:rFonts w:ascii="宋体" w:hAnsi="宋体"/>
        <w:szCs w:val="18"/>
      </w:rPr>
      <w:fldChar w:fldCharType="begin"/>
    </w:r>
    <w:r>
      <w:rPr>
        <w:rStyle w:val="36"/>
        <w:rFonts w:ascii="宋体" w:hAnsi="宋体"/>
        <w:szCs w:val="18"/>
      </w:rPr>
      <w:instrText xml:space="preserve">PAGE  </w:instrText>
    </w:r>
    <w:r>
      <w:rPr>
        <w:rStyle w:val="36"/>
        <w:rFonts w:ascii="宋体" w:hAnsi="宋体"/>
        <w:szCs w:val="18"/>
      </w:rPr>
      <w:fldChar w:fldCharType="separate"/>
    </w:r>
    <w:r>
      <w:rPr>
        <w:rStyle w:val="36"/>
        <w:rFonts w:ascii="宋体" w:hAnsi="宋体"/>
        <w:szCs w:val="18"/>
      </w:rPr>
      <w:t>24</w:t>
    </w:r>
    <w:r>
      <w:rPr>
        <w:rStyle w:val="36"/>
        <w:rFonts w:ascii="宋体" w:hAnsi="宋体"/>
        <w:szCs w:val="18"/>
      </w:rPr>
      <w:fldChar w:fldCharType="end"/>
    </w:r>
    <w:r>
      <w:rPr>
        <w:rStyle w:val="36"/>
        <w:rFonts w:hint="eastAsia" w:ascii="宋体" w:hAnsi="宋体"/>
        <w:sz w:val="20"/>
      </w:rPr>
      <w:t xml:space="preserve"> </w:t>
    </w:r>
    <w:r>
      <w:rPr>
        <w:rStyle w:val="36"/>
        <w:rFonts w:hint="eastAsia" w:ascii="宋体" w:hAnsi="宋体"/>
        <w:sz w:val="28"/>
        <w:szCs w:val="28"/>
      </w:rPr>
      <w:t>-</w:t>
    </w:r>
  </w:p>
  <w:p w14:paraId="04368929">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74933">
    <w:pPr>
      <w:pStyle w:val="17"/>
      <w:framePr w:wrap="around" w:vAnchor="text" w:hAnchor="page" w:x="7831" w:y="-2"/>
      <w:jc w:val="center"/>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Style w:val="36"/>
        <w:rFonts w:ascii="宋体" w:hAnsi="宋体"/>
        <w:szCs w:val="18"/>
      </w:rPr>
      <w:fldChar w:fldCharType="begin"/>
    </w:r>
    <w:r>
      <w:rPr>
        <w:rStyle w:val="36"/>
        <w:rFonts w:ascii="宋体" w:hAnsi="宋体"/>
        <w:szCs w:val="18"/>
      </w:rPr>
      <w:instrText xml:space="preserve">PAGE  </w:instrText>
    </w:r>
    <w:r>
      <w:rPr>
        <w:rStyle w:val="36"/>
        <w:rFonts w:ascii="宋体" w:hAnsi="宋体"/>
        <w:szCs w:val="18"/>
      </w:rPr>
      <w:fldChar w:fldCharType="separate"/>
    </w:r>
    <w:r>
      <w:rPr>
        <w:rStyle w:val="36"/>
        <w:rFonts w:ascii="宋体" w:hAnsi="宋体"/>
        <w:szCs w:val="18"/>
      </w:rPr>
      <w:t>43</w:t>
    </w:r>
    <w:r>
      <w:rPr>
        <w:rStyle w:val="36"/>
        <w:rFonts w:ascii="宋体" w:hAnsi="宋体"/>
        <w:szCs w:val="18"/>
      </w:rPr>
      <w:fldChar w:fldCharType="end"/>
    </w:r>
    <w:r>
      <w:rPr>
        <w:rStyle w:val="36"/>
        <w:rFonts w:hint="eastAsia" w:ascii="宋体" w:hAnsi="宋体"/>
        <w:sz w:val="20"/>
      </w:rPr>
      <w:t xml:space="preserve"> </w:t>
    </w:r>
    <w:r>
      <w:rPr>
        <w:rStyle w:val="36"/>
        <w:rFonts w:hint="eastAsia" w:ascii="宋体" w:hAnsi="宋体"/>
        <w:sz w:val="28"/>
        <w:szCs w:val="28"/>
      </w:rPr>
      <w:t>-</w:t>
    </w:r>
  </w:p>
  <w:p w14:paraId="3A2A0C52">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4BC615"/>
    <w:multiLevelType w:val="singleLevel"/>
    <w:tmpl w:val="134BC61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A14947"/>
    <w:rsid w:val="000060B3"/>
    <w:rsid w:val="000172CD"/>
    <w:rsid w:val="0004364B"/>
    <w:rsid w:val="0006095D"/>
    <w:rsid w:val="00061B1F"/>
    <w:rsid w:val="0007179D"/>
    <w:rsid w:val="00071DEF"/>
    <w:rsid w:val="000733C4"/>
    <w:rsid w:val="00074783"/>
    <w:rsid w:val="0008070B"/>
    <w:rsid w:val="000810AC"/>
    <w:rsid w:val="00081A02"/>
    <w:rsid w:val="00082231"/>
    <w:rsid w:val="00092D38"/>
    <w:rsid w:val="0009377B"/>
    <w:rsid w:val="00095E13"/>
    <w:rsid w:val="000A20C9"/>
    <w:rsid w:val="000B058F"/>
    <w:rsid w:val="000B1179"/>
    <w:rsid w:val="000B4467"/>
    <w:rsid w:val="000B4DB9"/>
    <w:rsid w:val="000C09AC"/>
    <w:rsid w:val="000C767F"/>
    <w:rsid w:val="000D5A44"/>
    <w:rsid w:val="000E3ED2"/>
    <w:rsid w:val="000F6683"/>
    <w:rsid w:val="00130C10"/>
    <w:rsid w:val="00131F42"/>
    <w:rsid w:val="001357F1"/>
    <w:rsid w:val="00140FA8"/>
    <w:rsid w:val="00142FEB"/>
    <w:rsid w:val="00143A2D"/>
    <w:rsid w:val="00145A41"/>
    <w:rsid w:val="00151675"/>
    <w:rsid w:val="00157435"/>
    <w:rsid w:val="00170950"/>
    <w:rsid w:val="0017504D"/>
    <w:rsid w:val="0017671A"/>
    <w:rsid w:val="00177422"/>
    <w:rsid w:val="00184590"/>
    <w:rsid w:val="001870D1"/>
    <w:rsid w:val="0018781E"/>
    <w:rsid w:val="0019262D"/>
    <w:rsid w:val="001A1B35"/>
    <w:rsid w:val="001A48A2"/>
    <w:rsid w:val="001A6F61"/>
    <w:rsid w:val="001B72B8"/>
    <w:rsid w:val="001C3097"/>
    <w:rsid w:val="001C69B3"/>
    <w:rsid w:val="001D4206"/>
    <w:rsid w:val="001D5595"/>
    <w:rsid w:val="001D7874"/>
    <w:rsid w:val="001D7F22"/>
    <w:rsid w:val="001F0F17"/>
    <w:rsid w:val="001F3347"/>
    <w:rsid w:val="001F69E4"/>
    <w:rsid w:val="0020211D"/>
    <w:rsid w:val="00207931"/>
    <w:rsid w:val="002125B4"/>
    <w:rsid w:val="0021370B"/>
    <w:rsid w:val="002155B8"/>
    <w:rsid w:val="0022174C"/>
    <w:rsid w:val="00224839"/>
    <w:rsid w:val="002249B2"/>
    <w:rsid w:val="00226574"/>
    <w:rsid w:val="002278EC"/>
    <w:rsid w:val="0023280E"/>
    <w:rsid w:val="002377D1"/>
    <w:rsid w:val="002506BC"/>
    <w:rsid w:val="00254345"/>
    <w:rsid w:val="00254ADD"/>
    <w:rsid w:val="0026067D"/>
    <w:rsid w:val="00264557"/>
    <w:rsid w:val="002805AB"/>
    <w:rsid w:val="00284204"/>
    <w:rsid w:val="00291773"/>
    <w:rsid w:val="002A168C"/>
    <w:rsid w:val="002A3DC7"/>
    <w:rsid w:val="002B49E2"/>
    <w:rsid w:val="002B51D4"/>
    <w:rsid w:val="002B7B00"/>
    <w:rsid w:val="002B7C44"/>
    <w:rsid w:val="002C2B17"/>
    <w:rsid w:val="002D2C7D"/>
    <w:rsid w:val="002D3DD0"/>
    <w:rsid w:val="002E1F3A"/>
    <w:rsid w:val="002E298A"/>
    <w:rsid w:val="00301978"/>
    <w:rsid w:val="0030332C"/>
    <w:rsid w:val="003051C2"/>
    <w:rsid w:val="00305E59"/>
    <w:rsid w:val="00312296"/>
    <w:rsid w:val="00314F0E"/>
    <w:rsid w:val="00321D8E"/>
    <w:rsid w:val="00325928"/>
    <w:rsid w:val="00330B98"/>
    <w:rsid w:val="00332863"/>
    <w:rsid w:val="0033684D"/>
    <w:rsid w:val="00337B42"/>
    <w:rsid w:val="00341B42"/>
    <w:rsid w:val="0034348F"/>
    <w:rsid w:val="003528D8"/>
    <w:rsid w:val="00356653"/>
    <w:rsid w:val="0035743F"/>
    <w:rsid w:val="00357BE2"/>
    <w:rsid w:val="0036170C"/>
    <w:rsid w:val="00366E0F"/>
    <w:rsid w:val="00381A72"/>
    <w:rsid w:val="00382646"/>
    <w:rsid w:val="00383616"/>
    <w:rsid w:val="00384676"/>
    <w:rsid w:val="00387B9F"/>
    <w:rsid w:val="00390857"/>
    <w:rsid w:val="003A4BF3"/>
    <w:rsid w:val="003B420D"/>
    <w:rsid w:val="003C6C16"/>
    <w:rsid w:val="003D794D"/>
    <w:rsid w:val="003E3058"/>
    <w:rsid w:val="003E76A9"/>
    <w:rsid w:val="003F0809"/>
    <w:rsid w:val="003F6A8C"/>
    <w:rsid w:val="003F755C"/>
    <w:rsid w:val="00404D24"/>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0083"/>
    <w:rsid w:val="0049037E"/>
    <w:rsid w:val="00494670"/>
    <w:rsid w:val="004A1217"/>
    <w:rsid w:val="004A3823"/>
    <w:rsid w:val="004E6946"/>
    <w:rsid w:val="004F1AD8"/>
    <w:rsid w:val="005039CB"/>
    <w:rsid w:val="0050558F"/>
    <w:rsid w:val="00506286"/>
    <w:rsid w:val="00510813"/>
    <w:rsid w:val="00511990"/>
    <w:rsid w:val="00511DE0"/>
    <w:rsid w:val="00514870"/>
    <w:rsid w:val="00514B9B"/>
    <w:rsid w:val="005158A2"/>
    <w:rsid w:val="00517F02"/>
    <w:rsid w:val="00524303"/>
    <w:rsid w:val="005258A2"/>
    <w:rsid w:val="005401AE"/>
    <w:rsid w:val="00542E07"/>
    <w:rsid w:val="00545424"/>
    <w:rsid w:val="00554A7B"/>
    <w:rsid w:val="0055572C"/>
    <w:rsid w:val="0056106A"/>
    <w:rsid w:val="0056370F"/>
    <w:rsid w:val="005720AE"/>
    <w:rsid w:val="0058583A"/>
    <w:rsid w:val="00594D77"/>
    <w:rsid w:val="005969E4"/>
    <w:rsid w:val="005A06B7"/>
    <w:rsid w:val="005A1759"/>
    <w:rsid w:val="005A68A7"/>
    <w:rsid w:val="005C061D"/>
    <w:rsid w:val="005D36AB"/>
    <w:rsid w:val="0060660F"/>
    <w:rsid w:val="00617CC3"/>
    <w:rsid w:val="0062637D"/>
    <w:rsid w:val="006377A6"/>
    <w:rsid w:val="00637A3D"/>
    <w:rsid w:val="006411EF"/>
    <w:rsid w:val="0065379B"/>
    <w:rsid w:val="006748B8"/>
    <w:rsid w:val="006775C3"/>
    <w:rsid w:val="006834F2"/>
    <w:rsid w:val="0069290A"/>
    <w:rsid w:val="0069775A"/>
    <w:rsid w:val="00697813"/>
    <w:rsid w:val="006A3EE8"/>
    <w:rsid w:val="006A72BF"/>
    <w:rsid w:val="006B03F2"/>
    <w:rsid w:val="006B37DC"/>
    <w:rsid w:val="006B4F68"/>
    <w:rsid w:val="006B6DD0"/>
    <w:rsid w:val="006C0592"/>
    <w:rsid w:val="006C272E"/>
    <w:rsid w:val="006C5479"/>
    <w:rsid w:val="006D13B5"/>
    <w:rsid w:val="006E12FF"/>
    <w:rsid w:val="006E607E"/>
    <w:rsid w:val="006F17D1"/>
    <w:rsid w:val="00706C5D"/>
    <w:rsid w:val="00721AB5"/>
    <w:rsid w:val="007249EE"/>
    <w:rsid w:val="00726959"/>
    <w:rsid w:val="00732922"/>
    <w:rsid w:val="00737802"/>
    <w:rsid w:val="00744D90"/>
    <w:rsid w:val="0075162E"/>
    <w:rsid w:val="00754034"/>
    <w:rsid w:val="00756556"/>
    <w:rsid w:val="007618C4"/>
    <w:rsid w:val="00762637"/>
    <w:rsid w:val="00767980"/>
    <w:rsid w:val="00770B19"/>
    <w:rsid w:val="0077463F"/>
    <w:rsid w:val="007836EA"/>
    <w:rsid w:val="00784CDA"/>
    <w:rsid w:val="007906C4"/>
    <w:rsid w:val="007940EA"/>
    <w:rsid w:val="007967E8"/>
    <w:rsid w:val="007A2170"/>
    <w:rsid w:val="007A22BF"/>
    <w:rsid w:val="007A2F9F"/>
    <w:rsid w:val="007A3323"/>
    <w:rsid w:val="007B584F"/>
    <w:rsid w:val="007B72B8"/>
    <w:rsid w:val="007B7A58"/>
    <w:rsid w:val="007C21B5"/>
    <w:rsid w:val="007E4BD2"/>
    <w:rsid w:val="00801393"/>
    <w:rsid w:val="00801E91"/>
    <w:rsid w:val="00802F88"/>
    <w:rsid w:val="00806AB8"/>
    <w:rsid w:val="0081293E"/>
    <w:rsid w:val="00815465"/>
    <w:rsid w:val="00817E9A"/>
    <w:rsid w:val="00820A76"/>
    <w:rsid w:val="008306BD"/>
    <w:rsid w:val="00831A80"/>
    <w:rsid w:val="00833743"/>
    <w:rsid w:val="008340A4"/>
    <w:rsid w:val="0087135F"/>
    <w:rsid w:val="00872D94"/>
    <w:rsid w:val="00880364"/>
    <w:rsid w:val="008868ED"/>
    <w:rsid w:val="00891592"/>
    <w:rsid w:val="00891E9E"/>
    <w:rsid w:val="008A2F68"/>
    <w:rsid w:val="008B260F"/>
    <w:rsid w:val="008B4FA6"/>
    <w:rsid w:val="008B5282"/>
    <w:rsid w:val="008B7C17"/>
    <w:rsid w:val="008C2D01"/>
    <w:rsid w:val="008C40E6"/>
    <w:rsid w:val="008D0F7A"/>
    <w:rsid w:val="008D68E4"/>
    <w:rsid w:val="008E0506"/>
    <w:rsid w:val="008E0CFF"/>
    <w:rsid w:val="008E5D6B"/>
    <w:rsid w:val="008E76F0"/>
    <w:rsid w:val="008F15FE"/>
    <w:rsid w:val="008F25C5"/>
    <w:rsid w:val="008F2D29"/>
    <w:rsid w:val="008F5187"/>
    <w:rsid w:val="008F60D8"/>
    <w:rsid w:val="00902727"/>
    <w:rsid w:val="0090312B"/>
    <w:rsid w:val="00904E3A"/>
    <w:rsid w:val="0091736D"/>
    <w:rsid w:val="0093037A"/>
    <w:rsid w:val="00931D14"/>
    <w:rsid w:val="00936158"/>
    <w:rsid w:val="0094154D"/>
    <w:rsid w:val="0095155F"/>
    <w:rsid w:val="00954429"/>
    <w:rsid w:val="009563CE"/>
    <w:rsid w:val="00976328"/>
    <w:rsid w:val="0097680D"/>
    <w:rsid w:val="00982438"/>
    <w:rsid w:val="0098404C"/>
    <w:rsid w:val="00985283"/>
    <w:rsid w:val="00995992"/>
    <w:rsid w:val="00995AA7"/>
    <w:rsid w:val="00996481"/>
    <w:rsid w:val="009A03E5"/>
    <w:rsid w:val="009A0F3B"/>
    <w:rsid w:val="009A1BB4"/>
    <w:rsid w:val="009A2628"/>
    <w:rsid w:val="009A3200"/>
    <w:rsid w:val="009B0897"/>
    <w:rsid w:val="009B7BD9"/>
    <w:rsid w:val="009C7DD5"/>
    <w:rsid w:val="009D1757"/>
    <w:rsid w:val="009E17D1"/>
    <w:rsid w:val="009E227D"/>
    <w:rsid w:val="009E5019"/>
    <w:rsid w:val="009F07E5"/>
    <w:rsid w:val="009F4785"/>
    <w:rsid w:val="00A04F1B"/>
    <w:rsid w:val="00A0501B"/>
    <w:rsid w:val="00A14947"/>
    <w:rsid w:val="00A316DE"/>
    <w:rsid w:val="00A32A83"/>
    <w:rsid w:val="00A368DB"/>
    <w:rsid w:val="00A423AA"/>
    <w:rsid w:val="00A53EC6"/>
    <w:rsid w:val="00A55C0F"/>
    <w:rsid w:val="00A60FD2"/>
    <w:rsid w:val="00A8713F"/>
    <w:rsid w:val="00A87193"/>
    <w:rsid w:val="00A90BA1"/>
    <w:rsid w:val="00A97A9A"/>
    <w:rsid w:val="00AA0671"/>
    <w:rsid w:val="00AA2531"/>
    <w:rsid w:val="00AB16F0"/>
    <w:rsid w:val="00AB1E09"/>
    <w:rsid w:val="00AB5330"/>
    <w:rsid w:val="00AB7747"/>
    <w:rsid w:val="00AC14CE"/>
    <w:rsid w:val="00AC2A56"/>
    <w:rsid w:val="00AD055E"/>
    <w:rsid w:val="00AD47A7"/>
    <w:rsid w:val="00AF02F1"/>
    <w:rsid w:val="00AF0CBF"/>
    <w:rsid w:val="00AF2315"/>
    <w:rsid w:val="00AF257F"/>
    <w:rsid w:val="00AF33CF"/>
    <w:rsid w:val="00AF4D50"/>
    <w:rsid w:val="00AF6179"/>
    <w:rsid w:val="00B1295A"/>
    <w:rsid w:val="00B20543"/>
    <w:rsid w:val="00B20A45"/>
    <w:rsid w:val="00B21F57"/>
    <w:rsid w:val="00B22C5C"/>
    <w:rsid w:val="00B24F30"/>
    <w:rsid w:val="00B31ABF"/>
    <w:rsid w:val="00B33BE3"/>
    <w:rsid w:val="00B53B5D"/>
    <w:rsid w:val="00B6055E"/>
    <w:rsid w:val="00B6317D"/>
    <w:rsid w:val="00B74487"/>
    <w:rsid w:val="00B7723F"/>
    <w:rsid w:val="00B80534"/>
    <w:rsid w:val="00B8433C"/>
    <w:rsid w:val="00B87491"/>
    <w:rsid w:val="00BA0082"/>
    <w:rsid w:val="00BA29E9"/>
    <w:rsid w:val="00BA61FE"/>
    <w:rsid w:val="00BA6C5C"/>
    <w:rsid w:val="00BA7141"/>
    <w:rsid w:val="00BA7142"/>
    <w:rsid w:val="00BB04BB"/>
    <w:rsid w:val="00BB237C"/>
    <w:rsid w:val="00BB33ED"/>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443A"/>
    <w:rsid w:val="00C552A1"/>
    <w:rsid w:val="00C61E4B"/>
    <w:rsid w:val="00C64BFF"/>
    <w:rsid w:val="00C704E9"/>
    <w:rsid w:val="00C763C9"/>
    <w:rsid w:val="00C80057"/>
    <w:rsid w:val="00C82232"/>
    <w:rsid w:val="00C82913"/>
    <w:rsid w:val="00C96F21"/>
    <w:rsid w:val="00C972B1"/>
    <w:rsid w:val="00CA2CCE"/>
    <w:rsid w:val="00CA43FD"/>
    <w:rsid w:val="00CA7EF8"/>
    <w:rsid w:val="00CC0D78"/>
    <w:rsid w:val="00CC1DB8"/>
    <w:rsid w:val="00CC489B"/>
    <w:rsid w:val="00CD2BCD"/>
    <w:rsid w:val="00CD3A4C"/>
    <w:rsid w:val="00CE0D97"/>
    <w:rsid w:val="00CE10E9"/>
    <w:rsid w:val="00CE2910"/>
    <w:rsid w:val="00CE5393"/>
    <w:rsid w:val="00CF36BE"/>
    <w:rsid w:val="00CF6000"/>
    <w:rsid w:val="00D003F3"/>
    <w:rsid w:val="00D0364F"/>
    <w:rsid w:val="00D06834"/>
    <w:rsid w:val="00D308ED"/>
    <w:rsid w:val="00D335FB"/>
    <w:rsid w:val="00D36D86"/>
    <w:rsid w:val="00D428AA"/>
    <w:rsid w:val="00D50A34"/>
    <w:rsid w:val="00D53EFA"/>
    <w:rsid w:val="00D57EEA"/>
    <w:rsid w:val="00D85CA8"/>
    <w:rsid w:val="00D922DD"/>
    <w:rsid w:val="00D94A7C"/>
    <w:rsid w:val="00D95896"/>
    <w:rsid w:val="00DA30DD"/>
    <w:rsid w:val="00DB2983"/>
    <w:rsid w:val="00DB6484"/>
    <w:rsid w:val="00DC1257"/>
    <w:rsid w:val="00DC3DC0"/>
    <w:rsid w:val="00DC497E"/>
    <w:rsid w:val="00DC5B2B"/>
    <w:rsid w:val="00DC5FCB"/>
    <w:rsid w:val="00DC6363"/>
    <w:rsid w:val="00DD318D"/>
    <w:rsid w:val="00DE009E"/>
    <w:rsid w:val="00DF2E12"/>
    <w:rsid w:val="00DF514A"/>
    <w:rsid w:val="00DF6690"/>
    <w:rsid w:val="00DF6804"/>
    <w:rsid w:val="00E0358D"/>
    <w:rsid w:val="00E04323"/>
    <w:rsid w:val="00E070A2"/>
    <w:rsid w:val="00E14D9D"/>
    <w:rsid w:val="00E2656A"/>
    <w:rsid w:val="00E412D0"/>
    <w:rsid w:val="00E56322"/>
    <w:rsid w:val="00E600E1"/>
    <w:rsid w:val="00E60982"/>
    <w:rsid w:val="00E62C62"/>
    <w:rsid w:val="00E654C1"/>
    <w:rsid w:val="00E65D97"/>
    <w:rsid w:val="00E66737"/>
    <w:rsid w:val="00E72A5A"/>
    <w:rsid w:val="00E73354"/>
    <w:rsid w:val="00E77F93"/>
    <w:rsid w:val="00E9242D"/>
    <w:rsid w:val="00EB2A65"/>
    <w:rsid w:val="00EB5255"/>
    <w:rsid w:val="00EB5C47"/>
    <w:rsid w:val="00EC1599"/>
    <w:rsid w:val="00EC6C47"/>
    <w:rsid w:val="00ED042C"/>
    <w:rsid w:val="00ED0639"/>
    <w:rsid w:val="00EF4755"/>
    <w:rsid w:val="00EF7135"/>
    <w:rsid w:val="00F027DB"/>
    <w:rsid w:val="00F14A7A"/>
    <w:rsid w:val="00F22985"/>
    <w:rsid w:val="00F3383E"/>
    <w:rsid w:val="00F465A7"/>
    <w:rsid w:val="00F50B7C"/>
    <w:rsid w:val="00F550E6"/>
    <w:rsid w:val="00F579A4"/>
    <w:rsid w:val="00F74345"/>
    <w:rsid w:val="00F75627"/>
    <w:rsid w:val="00F80A0A"/>
    <w:rsid w:val="00F82B19"/>
    <w:rsid w:val="00F86496"/>
    <w:rsid w:val="00F9212D"/>
    <w:rsid w:val="00F931C3"/>
    <w:rsid w:val="00F965DA"/>
    <w:rsid w:val="00FA406A"/>
    <w:rsid w:val="00FB503A"/>
    <w:rsid w:val="00FB516C"/>
    <w:rsid w:val="00FD0236"/>
    <w:rsid w:val="00FD18F4"/>
    <w:rsid w:val="00FD54DB"/>
    <w:rsid w:val="00FD619F"/>
    <w:rsid w:val="01284C8B"/>
    <w:rsid w:val="01290F7E"/>
    <w:rsid w:val="012C6E1D"/>
    <w:rsid w:val="015D1E09"/>
    <w:rsid w:val="01850080"/>
    <w:rsid w:val="01CB2A0C"/>
    <w:rsid w:val="01D93862"/>
    <w:rsid w:val="021A2436"/>
    <w:rsid w:val="02697903"/>
    <w:rsid w:val="02F96569"/>
    <w:rsid w:val="03A05AD3"/>
    <w:rsid w:val="03EA7B21"/>
    <w:rsid w:val="04195C86"/>
    <w:rsid w:val="04437C87"/>
    <w:rsid w:val="05524872"/>
    <w:rsid w:val="05F83EAE"/>
    <w:rsid w:val="060A2B37"/>
    <w:rsid w:val="063E7D85"/>
    <w:rsid w:val="06905F45"/>
    <w:rsid w:val="06D26824"/>
    <w:rsid w:val="06D8601B"/>
    <w:rsid w:val="07293586"/>
    <w:rsid w:val="07295285"/>
    <w:rsid w:val="07395F90"/>
    <w:rsid w:val="073B114C"/>
    <w:rsid w:val="07636392"/>
    <w:rsid w:val="076D29B0"/>
    <w:rsid w:val="07770C56"/>
    <w:rsid w:val="089F4F41"/>
    <w:rsid w:val="08F92348"/>
    <w:rsid w:val="092217DD"/>
    <w:rsid w:val="092E2906"/>
    <w:rsid w:val="093A7294"/>
    <w:rsid w:val="09A43438"/>
    <w:rsid w:val="09E607F2"/>
    <w:rsid w:val="09E65669"/>
    <w:rsid w:val="09F27CE5"/>
    <w:rsid w:val="0A263993"/>
    <w:rsid w:val="0A2D3AC2"/>
    <w:rsid w:val="0AA755DF"/>
    <w:rsid w:val="0AC729B8"/>
    <w:rsid w:val="0AF93D63"/>
    <w:rsid w:val="0AFD7B29"/>
    <w:rsid w:val="0B1047D8"/>
    <w:rsid w:val="0B120D44"/>
    <w:rsid w:val="0B1B0D97"/>
    <w:rsid w:val="0BD27BF6"/>
    <w:rsid w:val="0BD9549C"/>
    <w:rsid w:val="0C1608A8"/>
    <w:rsid w:val="0C3B3C7D"/>
    <w:rsid w:val="0C69321C"/>
    <w:rsid w:val="0CAB2EAE"/>
    <w:rsid w:val="0CD72725"/>
    <w:rsid w:val="0CE72D10"/>
    <w:rsid w:val="0D2965FF"/>
    <w:rsid w:val="0D621C7D"/>
    <w:rsid w:val="0D824036"/>
    <w:rsid w:val="0DE34B8A"/>
    <w:rsid w:val="0E73034D"/>
    <w:rsid w:val="0EE6207D"/>
    <w:rsid w:val="0F13775A"/>
    <w:rsid w:val="0F5F45FE"/>
    <w:rsid w:val="0F9229BD"/>
    <w:rsid w:val="0F9A112B"/>
    <w:rsid w:val="0FCD43D6"/>
    <w:rsid w:val="101C01C0"/>
    <w:rsid w:val="1051340A"/>
    <w:rsid w:val="1054463D"/>
    <w:rsid w:val="105A5D72"/>
    <w:rsid w:val="106D2F64"/>
    <w:rsid w:val="10935960"/>
    <w:rsid w:val="10B63710"/>
    <w:rsid w:val="10DE353E"/>
    <w:rsid w:val="10F10820"/>
    <w:rsid w:val="111C2F7A"/>
    <w:rsid w:val="11665CA1"/>
    <w:rsid w:val="11671294"/>
    <w:rsid w:val="11863AB6"/>
    <w:rsid w:val="11A51AB6"/>
    <w:rsid w:val="1218204B"/>
    <w:rsid w:val="1335248B"/>
    <w:rsid w:val="13951726"/>
    <w:rsid w:val="143860B4"/>
    <w:rsid w:val="14396509"/>
    <w:rsid w:val="14DD2C3C"/>
    <w:rsid w:val="14F542A3"/>
    <w:rsid w:val="16087E1D"/>
    <w:rsid w:val="16C04080"/>
    <w:rsid w:val="171314C7"/>
    <w:rsid w:val="17701D14"/>
    <w:rsid w:val="17735226"/>
    <w:rsid w:val="1778696C"/>
    <w:rsid w:val="181D3EBA"/>
    <w:rsid w:val="183319FD"/>
    <w:rsid w:val="184A118F"/>
    <w:rsid w:val="189F624C"/>
    <w:rsid w:val="18F66A9E"/>
    <w:rsid w:val="196D6D54"/>
    <w:rsid w:val="19DB1B3D"/>
    <w:rsid w:val="1A1C66C0"/>
    <w:rsid w:val="1A42393B"/>
    <w:rsid w:val="1A44147B"/>
    <w:rsid w:val="1A5605BE"/>
    <w:rsid w:val="1A851899"/>
    <w:rsid w:val="1AAD45DE"/>
    <w:rsid w:val="1ACD0073"/>
    <w:rsid w:val="1B046F80"/>
    <w:rsid w:val="1B3267B5"/>
    <w:rsid w:val="1B40161D"/>
    <w:rsid w:val="1B441859"/>
    <w:rsid w:val="1B445A9E"/>
    <w:rsid w:val="1B6606B1"/>
    <w:rsid w:val="1BC51A37"/>
    <w:rsid w:val="1BDF1E64"/>
    <w:rsid w:val="1C1C351F"/>
    <w:rsid w:val="1C5E7925"/>
    <w:rsid w:val="1C64776B"/>
    <w:rsid w:val="1CFD070F"/>
    <w:rsid w:val="1D5F6196"/>
    <w:rsid w:val="1D6132A5"/>
    <w:rsid w:val="1D8E56D5"/>
    <w:rsid w:val="1E0139A7"/>
    <w:rsid w:val="1E633219"/>
    <w:rsid w:val="1E6A01BF"/>
    <w:rsid w:val="1E7A43DA"/>
    <w:rsid w:val="1E7C03F0"/>
    <w:rsid w:val="1EF05DEC"/>
    <w:rsid w:val="1F7D45CD"/>
    <w:rsid w:val="1FE7539E"/>
    <w:rsid w:val="2003167B"/>
    <w:rsid w:val="206612F6"/>
    <w:rsid w:val="20671BE0"/>
    <w:rsid w:val="20963CB8"/>
    <w:rsid w:val="20A81A1B"/>
    <w:rsid w:val="20B07FB6"/>
    <w:rsid w:val="20B646FB"/>
    <w:rsid w:val="20E50F7D"/>
    <w:rsid w:val="20FC14BA"/>
    <w:rsid w:val="213B74B1"/>
    <w:rsid w:val="215A2310"/>
    <w:rsid w:val="21912511"/>
    <w:rsid w:val="21DE318A"/>
    <w:rsid w:val="21E765AD"/>
    <w:rsid w:val="21EF5B80"/>
    <w:rsid w:val="21F9496E"/>
    <w:rsid w:val="222A00F6"/>
    <w:rsid w:val="22364B57"/>
    <w:rsid w:val="22491758"/>
    <w:rsid w:val="22572A22"/>
    <w:rsid w:val="22576990"/>
    <w:rsid w:val="22AF715D"/>
    <w:rsid w:val="22EF423C"/>
    <w:rsid w:val="22F47480"/>
    <w:rsid w:val="23D6114C"/>
    <w:rsid w:val="23DE1C48"/>
    <w:rsid w:val="23F06389"/>
    <w:rsid w:val="240210CD"/>
    <w:rsid w:val="241F5FE1"/>
    <w:rsid w:val="24983271"/>
    <w:rsid w:val="24BF09F7"/>
    <w:rsid w:val="24E71E30"/>
    <w:rsid w:val="25041392"/>
    <w:rsid w:val="2508171E"/>
    <w:rsid w:val="252D53FE"/>
    <w:rsid w:val="25425864"/>
    <w:rsid w:val="25685145"/>
    <w:rsid w:val="257A4463"/>
    <w:rsid w:val="25D46C26"/>
    <w:rsid w:val="25EC2D81"/>
    <w:rsid w:val="26295851"/>
    <w:rsid w:val="269F5A29"/>
    <w:rsid w:val="27017ED2"/>
    <w:rsid w:val="270573E3"/>
    <w:rsid w:val="27165388"/>
    <w:rsid w:val="273E668C"/>
    <w:rsid w:val="274D4983"/>
    <w:rsid w:val="277057A2"/>
    <w:rsid w:val="27710F88"/>
    <w:rsid w:val="27DF05F5"/>
    <w:rsid w:val="29206EB8"/>
    <w:rsid w:val="29595666"/>
    <w:rsid w:val="29671483"/>
    <w:rsid w:val="29874881"/>
    <w:rsid w:val="299C1969"/>
    <w:rsid w:val="29E325E0"/>
    <w:rsid w:val="2A042F4C"/>
    <w:rsid w:val="2A452503"/>
    <w:rsid w:val="2ACA55DB"/>
    <w:rsid w:val="2AEF4A6E"/>
    <w:rsid w:val="2B1E0B17"/>
    <w:rsid w:val="2B65663D"/>
    <w:rsid w:val="2B76059A"/>
    <w:rsid w:val="2BA936A8"/>
    <w:rsid w:val="2BAF22FE"/>
    <w:rsid w:val="2C315A5A"/>
    <w:rsid w:val="2C3A7F86"/>
    <w:rsid w:val="2C4B1C25"/>
    <w:rsid w:val="2C651E07"/>
    <w:rsid w:val="2C6E1AFE"/>
    <w:rsid w:val="2D48369D"/>
    <w:rsid w:val="2D5E5941"/>
    <w:rsid w:val="2D9E56F5"/>
    <w:rsid w:val="2DA2469B"/>
    <w:rsid w:val="2DC8091F"/>
    <w:rsid w:val="2E035824"/>
    <w:rsid w:val="2E667F96"/>
    <w:rsid w:val="2E8226AB"/>
    <w:rsid w:val="2EA5594F"/>
    <w:rsid w:val="2EB81C34"/>
    <w:rsid w:val="2ED72A7A"/>
    <w:rsid w:val="2F1E74CF"/>
    <w:rsid w:val="2F653695"/>
    <w:rsid w:val="2FD065E6"/>
    <w:rsid w:val="2FD96870"/>
    <w:rsid w:val="2FE41C92"/>
    <w:rsid w:val="30580BC9"/>
    <w:rsid w:val="30BC6FA0"/>
    <w:rsid w:val="30C404B7"/>
    <w:rsid w:val="30C430AE"/>
    <w:rsid w:val="30ED466F"/>
    <w:rsid w:val="311E2ED7"/>
    <w:rsid w:val="312D7413"/>
    <w:rsid w:val="31386FBE"/>
    <w:rsid w:val="315619EE"/>
    <w:rsid w:val="315C449C"/>
    <w:rsid w:val="318628D4"/>
    <w:rsid w:val="319E7DC8"/>
    <w:rsid w:val="31B82709"/>
    <w:rsid w:val="31D05482"/>
    <w:rsid w:val="31E03312"/>
    <w:rsid w:val="31F10014"/>
    <w:rsid w:val="320453D8"/>
    <w:rsid w:val="32400B34"/>
    <w:rsid w:val="32533C14"/>
    <w:rsid w:val="32726E51"/>
    <w:rsid w:val="32803FFD"/>
    <w:rsid w:val="329E6876"/>
    <w:rsid w:val="32B623CF"/>
    <w:rsid w:val="32E01AD8"/>
    <w:rsid w:val="333015F2"/>
    <w:rsid w:val="334B6320"/>
    <w:rsid w:val="336A3155"/>
    <w:rsid w:val="33D934D4"/>
    <w:rsid w:val="33FE2F6A"/>
    <w:rsid w:val="340E07E5"/>
    <w:rsid w:val="34235BF7"/>
    <w:rsid w:val="35274EBE"/>
    <w:rsid w:val="35722596"/>
    <w:rsid w:val="358C5FA8"/>
    <w:rsid w:val="35C15DF1"/>
    <w:rsid w:val="35E41E07"/>
    <w:rsid w:val="36074A7F"/>
    <w:rsid w:val="368A7632"/>
    <w:rsid w:val="36923549"/>
    <w:rsid w:val="36B75FBF"/>
    <w:rsid w:val="36BD0C45"/>
    <w:rsid w:val="36E71CBA"/>
    <w:rsid w:val="37421016"/>
    <w:rsid w:val="375E5A00"/>
    <w:rsid w:val="377542C8"/>
    <w:rsid w:val="37E00298"/>
    <w:rsid w:val="38405BBE"/>
    <w:rsid w:val="38B302F9"/>
    <w:rsid w:val="38E93889"/>
    <w:rsid w:val="38F12CD3"/>
    <w:rsid w:val="38F94775"/>
    <w:rsid w:val="392971ED"/>
    <w:rsid w:val="39325651"/>
    <w:rsid w:val="3934169D"/>
    <w:rsid w:val="39CA7ABD"/>
    <w:rsid w:val="3A45161C"/>
    <w:rsid w:val="3A872856"/>
    <w:rsid w:val="3B3763D1"/>
    <w:rsid w:val="3B6C0D96"/>
    <w:rsid w:val="3B824942"/>
    <w:rsid w:val="3BAF16AE"/>
    <w:rsid w:val="3BF92C1A"/>
    <w:rsid w:val="3C2F6E1E"/>
    <w:rsid w:val="3C4F64BA"/>
    <w:rsid w:val="3CB92F82"/>
    <w:rsid w:val="3CDA245A"/>
    <w:rsid w:val="3CEC4769"/>
    <w:rsid w:val="3D0C0A37"/>
    <w:rsid w:val="3D1E06B7"/>
    <w:rsid w:val="3E8A5F1F"/>
    <w:rsid w:val="3EDA0523"/>
    <w:rsid w:val="3F144BF7"/>
    <w:rsid w:val="3F401045"/>
    <w:rsid w:val="3F6B163B"/>
    <w:rsid w:val="3FA04899"/>
    <w:rsid w:val="3FE02D2E"/>
    <w:rsid w:val="40385F17"/>
    <w:rsid w:val="40416EFE"/>
    <w:rsid w:val="404A0514"/>
    <w:rsid w:val="407A6407"/>
    <w:rsid w:val="4094374A"/>
    <w:rsid w:val="40B34F2D"/>
    <w:rsid w:val="41DA1B87"/>
    <w:rsid w:val="4200449D"/>
    <w:rsid w:val="42142CBC"/>
    <w:rsid w:val="422047B4"/>
    <w:rsid w:val="423A3BCC"/>
    <w:rsid w:val="424E57D2"/>
    <w:rsid w:val="42502C4C"/>
    <w:rsid w:val="42B26C49"/>
    <w:rsid w:val="42F04A73"/>
    <w:rsid w:val="433A6FE6"/>
    <w:rsid w:val="43480868"/>
    <w:rsid w:val="4350713C"/>
    <w:rsid w:val="436653E0"/>
    <w:rsid w:val="436D4129"/>
    <w:rsid w:val="43C4431A"/>
    <w:rsid w:val="43C81ABD"/>
    <w:rsid w:val="43DE59B9"/>
    <w:rsid w:val="444D654F"/>
    <w:rsid w:val="445B7146"/>
    <w:rsid w:val="44B951CC"/>
    <w:rsid w:val="44BE681C"/>
    <w:rsid w:val="44CD14E0"/>
    <w:rsid w:val="44F20B0B"/>
    <w:rsid w:val="452E5F4C"/>
    <w:rsid w:val="455F458E"/>
    <w:rsid w:val="45612018"/>
    <w:rsid w:val="457B1289"/>
    <w:rsid w:val="458946E9"/>
    <w:rsid w:val="45A47C0E"/>
    <w:rsid w:val="46577FD6"/>
    <w:rsid w:val="46D955A7"/>
    <w:rsid w:val="47133957"/>
    <w:rsid w:val="472C3265"/>
    <w:rsid w:val="47A07E0C"/>
    <w:rsid w:val="47FD7192"/>
    <w:rsid w:val="481A3AD1"/>
    <w:rsid w:val="4870272E"/>
    <w:rsid w:val="48745184"/>
    <w:rsid w:val="48823C70"/>
    <w:rsid w:val="489B25E2"/>
    <w:rsid w:val="49591687"/>
    <w:rsid w:val="49DC7715"/>
    <w:rsid w:val="4A023139"/>
    <w:rsid w:val="4A7B576F"/>
    <w:rsid w:val="4AC05C31"/>
    <w:rsid w:val="4ACE162F"/>
    <w:rsid w:val="4AF561A9"/>
    <w:rsid w:val="4BD25EAB"/>
    <w:rsid w:val="4BF46279"/>
    <w:rsid w:val="4C4A0649"/>
    <w:rsid w:val="4C7E5ECA"/>
    <w:rsid w:val="4C876AA5"/>
    <w:rsid w:val="4CAC2B2C"/>
    <w:rsid w:val="4D0E00FB"/>
    <w:rsid w:val="4D176606"/>
    <w:rsid w:val="4D4777D7"/>
    <w:rsid w:val="4D786CDD"/>
    <w:rsid w:val="4DB353AA"/>
    <w:rsid w:val="4DEC4FB0"/>
    <w:rsid w:val="4E075D8A"/>
    <w:rsid w:val="4E3C1A06"/>
    <w:rsid w:val="4EA46F5C"/>
    <w:rsid w:val="4EC00FAD"/>
    <w:rsid w:val="4EDE4667"/>
    <w:rsid w:val="4F0C159E"/>
    <w:rsid w:val="4F594287"/>
    <w:rsid w:val="4F805BFD"/>
    <w:rsid w:val="4F9843DC"/>
    <w:rsid w:val="4FA7068D"/>
    <w:rsid w:val="4FC62A8C"/>
    <w:rsid w:val="4FE20F0D"/>
    <w:rsid w:val="4FE51552"/>
    <w:rsid w:val="503C5535"/>
    <w:rsid w:val="504C255E"/>
    <w:rsid w:val="50504C4B"/>
    <w:rsid w:val="509C6E7C"/>
    <w:rsid w:val="50F17B18"/>
    <w:rsid w:val="5162104E"/>
    <w:rsid w:val="519F3D49"/>
    <w:rsid w:val="51C52641"/>
    <w:rsid w:val="51CD23FB"/>
    <w:rsid w:val="51D137B5"/>
    <w:rsid w:val="525F5061"/>
    <w:rsid w:val="52637CCC"/>
    <w:rsid w:val="52BB53C4"/>
    <w:rsid w:val="52DE47B1"/>
    <w:rsid w:val="53154C39"/>
    <w:rsid w:val="53A039CC"/>
    <w:rsid w:val="53A1505A"/>
    <w:rsid w:val="53E45A15"/>
    <w:rsid w:val="53E77F77"/>
    <w:rsid w:val="54063E08"/>
    <w:rsid w:val="543437E8"/>
    <w:rsid w:val="547706EC"/>
    <w:rsid w:val="549C5EAA"/>
    <w:rsid w:val="54AD1846"/>
    <w:rsid w:val="54CC4D02"/>
    <w:rsid w:val="54F637DB"/>
    <w:rsid w:val="54F73313"/>
    <w:rsid w:val="54F80955"/>
    <w:rsid w:val="555170A7"/>
    <w:rsid w:val="55866CD1"/>
    <w:rsid w:val="5587536D"/>
    <w:rsid w:val="559B174B"/>
    <w:rsid w:val="55CE0CF4"/>
    <w:rsid w:val="55F613EF"/>
    <w:rsid w:val="560410F7"/>
    <w:rsid w:val="5675775D"/>
    <w:rsid w:val="56B04A8B"/>
    <w:rsid w:val="56B22A9C"/>
    <w:rsid w:val="56C31CF9"/>
    <w:rsid w:val="56FC03B2"/>
    <w:rsid w:val="570817D1"/>
    <w:rsid w:val="57840762"/>
    <w:rsid w:val="578D29BF"/>
    <w:rsid w:val="57B72A76"/>
    <w:rsid w:val="57C3426C"/>
    <w:rsid w:val="57CE1F93"/>
    <w:rsid w:val="57EC15FF"/>
    <w:rsid w:val="58060853"/>
    <w:rsid w:val="588336F3"/>
    <w:rsid w:val="588743D1"/>
    <w:rsid w:val="5887701A"/>
    <w:rsid w:val="589D5C03"/>
    <w:rsid w:val="58CB7604"/>
    <w:rsid w:val="59C0439F"/>
    <w:rsid w:val="5ABE2233"/>
    <w:rsid w:val="5AF1593A"/>
    <w:rsid w:val="5AFF60D8"/>
    <w:rsid w:val="5B7E16AE"/>
    <w:rsid w:val="5BDF5D95"/>
    <w:rsid w:val="5BFB2B33"/>
    <w:rsid w:val="5BFC1714"/>
    <w:rsid w:val="5BFE7528"/>
    <w:rsid w:val="5C6C4DC1"/>
    <w:rsid w:val="5C93103E"/>
    <w:rsid w:val="5D9F34EF"/>
    <w:rsid w:val="5E134BFA"/>
    <w:rsid w:val="5E2467F1"/>
    <w:rsid w:val="5E6A54CC"/>
    <w:rsid w:val="5EBB70B9"/>
    <w:rsid w:val="5ECB4A71"/>
    <w:rsid w:val="5F1A2B43"/>
    <w:rsid w:val="5F3F486F"/>
    <w:rsid w:val="5F4E521B"/>
    <w:rsid w:val="5F646C30"/>
    <w:rsid w:val="5FB837BB"/>
    <w:rsid w:val="600D5903"/>
    <w:rsid w:val="609935CD"/>
    <w:rsid w:val="60BD56E0"/>
    <w:rsid w:val="60CC405A"/>
    <w:rsid w:val="60EC5277"/>
    <w:rsid w:val="61E215D8"/>
    <w:rsid w:val="621B3775"/>
    <w:rsid w:val="62364782"/>
    <w:rsid w:val="62A97C4D"/>
    <w:rsid w:val="62E80C7F"/>
    <w:rsid w:val="63676DFE"/>
    <w:rsid w:val="63775320"/>
    <w:rsid w:val="6394356A"/>
    <w:rsid w:val="63C61B2C"/>
    <w:rsid w:val="63D40BE9"/>
    <w:rsid w:val="63E36C0B"/>
    <w:rsid w:val="64102431"/>
    <w:rsid w:val="642108EC"/>
    <w:rsid w:val="642854E5"/>
    <w:rsid w:val="64A5243A"/>
    <w:rsid w:val="64F531DE"/>
    <w:rsid w:val="65373578"/>
    <w:rsid w:val="6548537F"/>
    <w:rsid w:val="654E593F"/>
    <w:rsid w:val="668E4C30"/>
    <w:rsid w:val="66D9118B"/>
    <w:rsid w:val="67065B78"/>
    <w:rsid w:val="671F124A"/>
    <w:rsid w:val="67593008"/>
    <w:rsid w:val="677013A4"/>
    <w:rsid w:val="677A33C6"/>
    <w:rsid w:val="681F6961"/>
    <w:rsid w:val="68610A2F"/>
    <w:rsid w:val="68805514"/>
    <w:rsid w:val="689D6802"/>
    <w:rsid w:val="689E68DD"/>
    <w:rsid w:val="69316E2F"/>
    <w:rsid w:val="693E60FA"/>
    <w:rsid w:val="693F4437"/>
    <w:rsid w:val="694E2071"/>
    <w:rsid w:val="69766163"/>
    <w:rsid w:val="697A3B33"/>
    <w:rsid w:val="69B819F5"/>
    <w:rsid w:val="69D44760"/>
    <w:rsid w:val="6A520EC7"/>
    <w:rsid w:val="6A6A3742"/>
    <w:rsid w:val="6A9B49DC"/>
    <w:rsid w:val="6AF87E20"/>
    <w:rsid w:val="6B322639"/>
    <w:rsid w:val="6B3A2892"/>
    <w:rsid w:val="6B700ABD"/>
    <w:rsid w:val="6B8B29DF"/>
    <w:rsid w:val="6C636C38"/>
    <w:rsid w:val="6C8A1D71"/>
    <w:rsid w:val="6CA672D1"/>
    <w:rsid w:val="6CB135F0"/>
    <w:rsid w:val="6CBB7D61"/>
    <w:rsid w:val="6CFC6A85"/>
    <w:rsid w:val="6D901C46"/>
    <w:rsid w:val="6DB34098"/>
    <w:rsid w:val="6DB545B6"/>
    <w:rsid w:val="6DD45256"/>
    <w:rsid w:val="6DE02FB4"/>
    <w:rsid w:val="6E017922"/>
    <w:rsid w:val="6E2D7B94"/>
    <w:rsid w:val="6E3B191A"/>
    <w:rsid w:val="6E514CED"/>
    <w:rsid w:val="6EA0770D"/>
    <w:rsid w:val="6EB563D5"/>
    <w:rsid w:val="6EC3051F"/>
    <w:rsid w:val="6ED92677"/>
    <w:rsid w:val="6EE45CB5"/>
    <w:rsid w:val="6F225983"/>
    <w:rsid w:val="6F844B31"/>
    <w:rsid w:val="6FE6376C"/>
    <w:rsid w:val="6FFC5590"/>
    <w:rsid w:val="70002B58"/>
    <w:rsid w:val="706D1DD0"/>
    <w:rsid w:val="70856B87"/>
    <w:rsid w:val="70A77D0D"/>
    <w:rsid w:val="70D13C15"/>
    <w:rsid w:val="70D527EE"/>
    <w:rsid w:val="710D1FBE"/>
    <w:rsid w:val="715B5300"/>
    <w:rsid w:val="71A77DBB"/>
    <w:rsid w:val="71D27F8A"/>
    <w:rsid w:val="72553024"/>
    <w:rsid w:val="726039C8"/>
    <w:rsid w:val="72EA3FE9"/>
    <w:rsid w:val="72F74D05"/>
    <w:rsid w:val="73122968"/>
    <w:rsid w:val="731F5D5E"/>
    <w:rsid w:val="73643E50"/>
    <w:rsid w:val="73681A31"/>
    <w:rsid w:val="73C51AD5"/>
    <w:rsid w:val="741E793C"/>
    <w:rsid w:val="745E3944"/>
    <w:rsid w:val="747E7F55"/>
    <w:rsid w:val="74836CD4"/>
    <w:rsid w:val="74BA6208"/>
    <w:rsid w:val="74C73627"/>
    <w:rsid w:val="74E24BBD"/>
    <w:rsid w:val="750430B7"/>
    <w:rsid w:val="75A2261B"/>
    <w:rsid w:val="75EF5562"/>
    <w:rsid w:val="762171AB"/>
    <w:rsid w:val="7635099D"/>
    <w:rsid w:val="764B59E3"/>
    <w:rsid w:val="774200CC"/>
    <w:rsid w:val="77762421"/>
    <w:rsid w:val="77B56B1F"/>
    <w:rsid w:val="77C821FF"/>
    <w:rsid w:val="780F09F4"/>
    <w:rsid w:val="783225E0"/>
    <w:rsid w:val="783411CF"/>
    <w:rsid w:val="785F1085"/>
    <w:rsid w:val="78A90480"/>
    <w:rsid w:val="7A364017"/>
    <w:rsid w:val="7A8233E0"/>
    <w:rsid w:val="7A8265E1"/>
    <w:rsid w:val="7AD03E66"/>
    <w:rsid w:val="7B267E33"/>
    <w:rsid w:val="7B686D42"/>
    <w:rsid w:val="7B801918"/>
    <w:rsid w:val="7B841746"/>
    <w:rsid w:val="7B8D58D0"/>
    <w:rsid w:val="7BC84D31"/>
    <w:rsid w:val="7BF844F7"/>
    <w:rsid w:val="7C6C5AC7"/>
    <w:rsid w:val="7CA719E6"/>
    <w:rsid w:val="7CAD779D"/>
    <w:rsid w:val="7CC57136"/>
    <w:rsid w:val="7CC6544B"/>
    <w:rsid w:val="7D0239FF"/>
    <w:rsid w:val="7D5B3EC4"/>
    <w:rsid w:val="7D5E40CD"/>
    <w:rsid w:val="7D7004C3"/>
    <w:rsid w:val="7D714A65"/>
    <w:rsid w:val="7DCD56F2"/>
    <w:rsid w:val="7E7A047C"/>
    <w:rsid w:val="7E891A75"/>
    <w:rsid w:val="7E997D24"/>
    <w:rsid w:val="7F001CE7"/>
    <w:rsid w:val="7FE11E94"/>
    <w:rsid w:val="7FE4474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name="toc 1" w:locked="1"/>
    <w:lsdException w:unhideWhenUsed="0" w:uiPriority="0" w:semiHidden="0" w:name="toc 2" w:locked="1"/>
    <w:lsdException w:unhideWhenUsed="0" w:uiPriority="0" w:semiHidden="0" w:name="toc 3" w:locked="1"/>
    <w:lsdException w:qFormat="1" w:unhideWhenUsed="0" w:uiPriority="39"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spacing w:line="360" w:lineRule="auto"/>
      <w:jc w:val="left"/>
      <w:outlineLvl w:val="1"/>
    </w:pPr>
    <w:rPr>
      <w:b/>
      <w:sz w:val="28"/>
    </w:rPr>
  </w:style>
  <w:style w:type="paragraph" w:styleId="4">
    <w:name w:val="heading 3"/>
    <w:basedOn w:val="1"/>
    <w:next w:val="1"/>
    <w:qFormat/>
    <w:locked/>
    <w:uiPriority w:val="0"/>
    <w:pPr>
      <w:keepNext/>
      <w:keepLines/>
      <w:spacing w:before="93" w:beforeLines="30" w:after="93" w:afterLines="30" w:line="360" w:lineRule="auto"/>
      <w:ind w:firstLine="601" w:firstLineChars="200"/>
      <w:outlineLvl w:val="2"/>
    </w:pPr>
    <w:rPr>
      <w:rFonts w:eastAsia="楷体_GB2312"/>
      <w:b/>
      <w:bCs/>
      <w:color w:val="000000"/>
      <w:sz w:val="30"/>
      <w:szCs w:val="32"/>
    </w:rPr>
  </w:style>
  <w:style w:type="paragraph" w:styleId="5">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5"/>
    <w:link w:val="96"/>
    <w:unhideWhenUsed/>
    <w:qFormat/>
    <w:locked/>
    <w:uiPriority w:val="0"/>
    <w:pPr>
      <w:ind w:firstLine="420" w:firstLineChars="200"/>
    </w:pPr>
  </w:style>
  <w:style w:type="paragraph" w:styleId="7">
    <w:name w:val="caption"/>
    <w:basedOn w:val="1"/>
    <w:next w:val="1"/>
    <w:qFormat/>
    <w:locked/>
    <w:uiPriority w:val="0"/>
    <w:pPr>
      <w:widowControl w:val="0"/>
      <w:jc w:val="both"/>
    </w:pPr>
    <w:rPr>
      <w:rFonts w:ascii="Arial" w:hAnsi="Arial" w:eastAsia="黑体" w:cs="Arial"/>
      <w:snapToGrid w:val="0"/>
      <w:sz w:val="20"/>
      <w:szCs w:val="20"/>
      <w:lang w:val="en-US" w:eastAsia="zh-CN" w:bidi="ar-SA"/>
    </w:rPr>
  </w:style>
  <w:style w:type="paragraph" w:styleId="8">
    <w:name w:val="annotation text"/>
    <w:basedOn w:val="1"/>
    <w:link w:val="56"/>
    <w:semiHidden/>
    <w:qFormat/>
    <w:uiPriority w:val="0"/>
    <w:pPr>
      <w:jc w:val="left"/>
    </w:pPr>
    <w:rPr>
      <w:kern w:val="0"/>
      <w:sz w:val="24"/>
      <w:szCs w:val="20"/>
    </w:rPr>
  </w:style>
  <w:style w:type="paragraph" w:styleId="9">
    <w:name w:val="Salutation"/>
    <w:next w:val="1"/>
    <w:qFormat/>
    <w:locked/>
    <w:uiPriority w:val="0"/>
    <w:pPr>
      <w:widowControl w:val="0"/>
      <w:jc w:val="both"/>
    </w:pPr>
    <w:rPr>
      <w:rFonts w:ascii="Times New Roman" w:hAnsi="Times New Roman" w:eastAsia="宋体" w:cs="Times New Roman"/>
      <w:kern w:val="0"/>
      <w:sz w:val="20"/>
      <w:szCs w:val="24"/>
      <w:lang w:val="en-US" w:eastAsia="zh-CN" w:bidi="ar-SA"/>
    </w:rPr>
  </w:style>
  <w:style w:type="paragraph" w:styleId="10">
    <w:name w:val="Body Text"/>
    <w:basedOn w:val="1"/>
    <w:link w:val="50"/>
    <w:qFormat/>
    <w:uiPriority w:val="0"/>
    <w:pPr>
      <w:widowControl/>
      <w:snapToGrid w:val="0"/>
      <w:spacing w:before="60" w:after="160" w:line="259" w:lineRule="auto"/>
      <w:ind w:right="113"/>
    </w:pPr>
    <w:rPr>
      <w:kern w:val="0"/>
      <w:sz w:val="18"/>
      <w:szCs w:val="20"/>
    </w:rPr>
  </w:style>
  <w:style w:type="paragraph" w:styleId="11">
    <w:name w:val="Body Text Indent"/>
    <w:basedOn w:val="1"/>
    <w:next w:val="1"/>
    <w:link w:val="66"/>
    <w:qFormat/>
    <w:uiPriority w:val="0"/>
    <w:pPr>
      <w:spacing w:after="120"/>
      <w:ind w:left="420" w:leftChars="200"/>
    </w:pPr>
    <w:rPr>
      <w:kern w:val="0"/>
      <w:sz w:val="24"/>
      <w:szCs w:val="20"/>
    </w:rPr>
  </w:style>
  <w:style w:type="paragraph" w:styleId="12">
    <w:name w:val="Plain Text"/>
    <w:basedOn w:val="1"/>
    <w:link w:val="77"/>
    <w:unhideWhenUsed/>
    <w:qFormat/>
    <w:locked/>
    <w:uiPriority w:val="99"/>
    <w:rPr>
      <w:rFonts w:ascii="宋体" w:hAnsi="Courier New" w:cs="Courier New"/>
      <w:szCs w:val="21"/>
    </w:rPr>
  </w:style>
  <w:style w:type="paragraph" w:styleId="13">
    <w:name w:val="toc 8"/>
    <w:next w:val="1"/>
    <w:qFormat/>
    <w:locked/>
    <w:uiPriority w:val="0"/>
    <w:pPr>
      <w:widowControl w:val="0"/>
      <w:spacing w:before="0" w:beforeLines="0" w:beforeAutospacing="0" w:after="0" w:afterLines="0" w:afterAutospacing="0" w:line="365" w:lineRule="atLeast"/>
      <w:ind w:left="1400" w:right="0" w:firstLine="0" w:firstLineChars="0"/>
      <w:jc w:val="left"/>
      <w:textAlignment w:val="bottom"/>
    </w:pPr>
    <w:rPr>
      <w:rFonts w:ascii="Times New Roman" w:hAnsi="Times New Roman" w:eastAsia="宋体" w:cs="Times New Roman"/>
      <w:sz w:val="18"/>
      <w:szCs w:val="18"/>
      <w:lang w:bidi="ar-SA"/>
    </w:rPr>
  </w:style>
  <w:style w:type="paragraph" w:styleId="14">
    <w:name w:val="Date"/>
    <w:basedOn w:val="1"/>
    <w:next w:val="1"/>
    <w:link w:val="52"/>
    <w:qFormat/>
    <w:uiPriority w:val="0"/>
    <w:pPr>
      <w:ind w:left="100" w:leftChars="2500"/>
    </w:pPr>
    <w:rPr>
      <w:kern w:val="0"/>
      <w:sz w:val="24"/>
      <w:szCs w:val="20"/>
    </w:rPr>
  </w:style>
  <w:style w:type="paragraph" w:styleId="15">
    <w:name w:val="Body Text Indent 2"/>
    <w:basedOn w:val="1"/>
    <w:qFormat/>
    <w:locked/>
    <w:uiPriority w:val="0"/>
    <w:pPr>
      <w:widowControl/>
      <w:ind w:firstLine="600"/>
    </w:pPr>
    <w:rPr>
      <w:rFonts w:eastAsia="仿宋_GB2312"/>
      <w:b/>
      <w:kern w:val="0"/>
      <w:sz w:val="20"/>
      <w:szCs w:val="20"/>
    </w:rPr>
  </w:style>
  <w:style w:type="paragraph" w:styleId="16">
    <w:name w:val="Balloon Text"/>
    <w:basedOn w:val="1"/>
    <w:link w:val="62"/>
    <w:semiHidden/>
    <w:qFormat/>
    <w:uiPriority w:val="0"/>
    <w:rPr>
      <w:kern w:val="0"/>
      <w:sz w:val="18"/>
      <w:szCs w:val="20"/>
    </w:rPr>
  </w:style>
  <w:style w:type="paragraph" w:styleId="17">
    <w:name w:val="footer"/>
    <w:basedOn w:val="1"/>
    <w:link w:val="51"/>
    <w:qFormat/>
    <w:uiPriority w:val="99"/>
    <w:pPr>
      <w:tabs>
        <w:tab w:val="center" w:pos="4153"/>
        <w:tab w:val="right" w:pos="8306"/>
      </w:tabs>
      <w:snapToGrid w:val="0"/>
      <w:jc w:val="left"/>
    </w:pPr>
    <w:rPr>
      <w:kern w:val="0"/>
      <w:sz w:val="18"/>
      <w:szCs w:val="20"/>
    </w:rPr>
  </w:style>
  <w:style w:type="paragraph" w:styleId="18">
    <w:name w:val="envelope return"/>
    <w:basedOn w:val="1"/>
    <w:qFormat/>
    <w:locked/>
    <w:uiPriority w:val="0"/>
    <w:pPr>
      <w:widowControl w:val="0"/>
      <w:snapToGrid w:val="0"/>
      <w:jc w:val="both"/>
    </w:pPr>
    <w:rPr>
      <w:rFonts w:ascii="Arial" w:hAnsi="Arial" w:eastAsia="宋体" w:cs="Arial"/>
      <w:kern w:val="2"/>
      <w:sz w:val="21"/>
      <w:szCs w:val="24"/>
      <w:lang w:val="en-US" w:eastAsia="zh-CN" w:bidi="ar-SA"/>
    </w:rPr>
  </w:style>
  <w:style w:type="paragraph" w:styleId="19">
    <w:name w:val="header"/>
    <w:basedOn w:val="1"/>
    <w:next w:val="20"/>
    <w:link w:val="6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0">
    <w:name w:val="样式5"/>
    <w:qFormat/>
    <w:uiPriority w:val="0"/>
    <w:pPr>
      <w:widowControl w:val="0"/>
      <w:spacing w:line="520" w:lineRule="atLeast"/>
      <w:ind w:firstLine="560" w:firstLineChars="0"/>
      <w:jc w:val="left"/>
    </w:pPr>
    <w:rPr>
      <w:rFonts w:ascii="黑体" w:hAnsi="Times New Roman" w:eastAsia="宋体" w:cs="Times New Roman"/>
      <w:kern w:val="0"/>
      <w:sz w:val="28"/>
      <w:szCs w:val="20"/>
      <w:lang w:val="en-US" w:eastAsia="zh-CN" w:bidi="ar-SA"/>
    </w:rPr>
  </w:style>
  <w:style w:type="paragraph" w:styleId="21">
    <w:name w:val="toc 1"/>
    <w:basedOn w:val="1"/>
    <w:next w:val="1"/>
    <w:semiHidden/>
    <w:qFormat/>
    <w:locked/>
    <w:uiPriority w:val="99"/>
    <w:pPr>
      <w:widowControl/>
      <w:spacing w:before="120" w:after="120" w:line="280" w:lineRule="exact"/>
      <w:jc w:val="center"/>
    </w:pPr>
    <w:rPr>
      <w:rFonts w:ascii="仿宋_GB2312" w:eastAsia="仿宋_GB2312"/>
      <w:caps/>
      <w:kern w:val="0"/>
    </w:rPr>
  </w:style>
  <w:style w:type="paragraph" w:styleId="22">
    <w:name w:val="toc 4"/>
    <w:basedOn w:val="1"/>
    <w:next w:val="1"/>
    <w:qFormat/>
    <w:locked/>
    <w:uiPriority w:val="39"/>
    <w:pPr>
      <w:widowControl w:val="0"/>
      <w:spacing w:line="360" w:lineRule="auto"/>
      <w:ind w:left="630"/>
      <w:jc w:val="left"/>
    </w:pPr>
    <w:rPr>
      <w:rFonts w:ascii="Times New Roman" w:hAnsi="Times New Roman" w:eastAsia="宋体" w:cs="Times New Roman"/>
      <w:kern w:val="2"/>
      <w:sz w:val="28"/>
      <w:szCs w:val="20"/>
      <w:lang w:val="en-US" w:eastAsia="zh-CN" w:bidi="ar-SA"/>
    </w:rPr>
  </w:style>
  <w:style w:type="paragraph" w:styleId="23">
    <w:name w:val="index heading"/>
    <w:basedOn w:val="1"/>
    <w:next w:val="24"/>
    <w:qFormat/>
    <w:locked/>
    <w:uiPriority w:val="0"/>
    <w:rPr>
      <w:szCs w:val="20"/>
    </w:rPr>
  </w:style>
  <w:style w:type="paragraph" w:styleId="24">
    <w:name w:val="index 1"/>
    <w:basedOn w:val="1"/>
    <w:next w:val="1"/>
    <w:qFormat/>
    <w:locked/>
    <w:uiPriority w:val="0"/>
    <w:pPr>
      <w:jc w:val="center"/>
    </w:pPr>
    <w:rPr>
      <w:szCs w:val="20"/>
    </w:rPr>
  </w:style>
  <w:style w:type="paragraph" w:styleId="25">
    <w:name w:val="List"/>
    <w:basedOn w:val="1"/>
    <w:link w:val="71"/>
    <w:unhideWhenUsed/>
    <w:qFormat/>
    <w:locked/>
    <w:uiPriority w:val="0"/>
    <w:pPr>
      <w:spacing w:line="360" w:lineRule="exact"/>
      <w:jc w:val="center"/>
    </w:pPr>
    <w:rPr>
      <w:rFonts w:ascii="仿宋_GB2312" w:eastAsia="仿宋_GB2312"/>
      <w:szCs w:val="20"/>
    </w:rPr>
  </w:style>
  <w:style w:type="paragraph" w:styleId="26">
    <w:name w:val="Body Text Indent 3"/>
    <w:basedOn w:val="1"/>
    <w:link w:val="69"/>
    <w:qFormat/>
    <w:locked/>
    <w:uiPriority w:val="0"/>
    <w:pPr>
      <w:spacing w:after="120"/>
      <w:ind w:left="420" w:leftChars="200"/>
    </w:pPr>
    <w:rPr>
      <w:sz w:val="16"/>
      <w:szCs w:val="16"/>
    </w:rPr>
  </w:style>
  <w:style w:type="paragraph" w:styleId="27">
    <w:name w:val="Body Text 2"/>
    <w:basedOn w:val="1"/>
    <w:qFormat/>
    <w:locked/>
    <w:uiPriority w:val="0"/>
    <w:pPr>
      <w:spacing w:after="120" w:line="480" w:lineRule="auto"/>
    </w:pPr>
  </w:style>
  <w:style w:type="paragraph" w:styleId="28">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8"/>
    <w:next w:val="8"/>
    <w:link w:val="63"/>
    <w:semiHidden/>
    <w:qFormat/>
    <w:uiPriority w:val="0"/>
    <w:rPr>
      <w:b/>
      <w:kern w:val="2"/>
    </w:rPr>
  </w:style>
  <w:style w:type="paragraph" w:styleId="30">
    <w:name w:val="Body Text First Indent"/>
    <w:basedOn w:val="10"/>
    <w:link w:val="86"/>
    <w:unhideWhenUsed/>
    <w:qFormat/>
    <w:locked/>
    <w:uiPriority w:val="99"/>
    <w:pPr>
      <w:widowControl w:val="0"/>
      <w:snapToGrid/>
      <w:spacing w:before="0" w:after="120" w:line="240" w:lineRule="auto"/>
      <w:ind w:right="0" w:firstLine="420" w:firstLineChars="100"/>
    </w:pPr>
    <w:rPr>
      <w:kern w:val="2"/>
      <w:sz w:val="21"/>
    </w:rPr>
  </w:style>
  <w:style w:type="paragraph" w:styleId="31">
    <w:name w:val="Body Text First Indent 2"/>
    <w:basedOn w:val="11"/>
    <w:qFormat/>
    <w:locked/>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locked/>
    <w:uiPriority w:val="0"/>
    <w:rPr>
      <w:b/>
      <w:bCs/>
    </w:rPr>
  </w:style>
  <w:style w:type="character" w:styleId="36">
    <w:name w:val="page number"/>
    <w:basedOn w:val="34"/>
    <w:qFormat/>
    <w:locked/>
    <w:uiPriority w:val="0"/>
  </w:style>
  <w:style w:type="character" w:styleId="37">
    <w:name w:val="Emphasis"/>
    <w:qFormat/>
    <w:locked/>
    <w:uiPriority w:val="20"/>
    <w:rPr>
      <w:color w:val="CC0000"/>
    </w:rPr>
  </w:style>
  <w:style w:type="character" w:styleId="38">
    <w:name w:val="Hyperlink"/>
    <w:basedOn w:val="34"/>
    <w:qFormat/>
    <w:locked/>
    <w:uiPriority w:val="0"/>
    <w:rPr>
      <w:color w:val="0000FF"/>
      <w:u w:val="single"/>
    </w:rPr>
  </w:style>
  <w:style w:type="character" w:styleId="39">
    <w:name w:val="annotation reference"/>
    <w:basedOn w:val="34"/>
    <w:semiHidden/>
    <w:qFormat/>
    <w:uiPriority w:val="0"/>
    <w:rPr>
      <w:sz w:val="21"/>
    </w:rPr>
  </w:style>
  <w:style w:type="paragraph" w:customStyle="1" w:styleId="40">
    <w:name w:val="Default"/>
    <w:basedOn w:val="4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2">
    <w:name w:val="_Style 7"/>
    <w:next w:val="1"/>
    <w:qFormat/>
    <w:uiPriority w:val="0"/>
    <w:pPr>
      <w:wordWrap w:val="0"/>
    </w:pPr>
    <w:rPr>
      <w:rFonts w:ascii="Times New Roman" w:hAnsi="Times New Roman" w:eastAsia="宋体" w:cs="Times New Roman"/>
      <w:sz w:val="32"/>
      <w:lang w:val="en-US" w:eastAsia="zh-CN" w:bidi="ar-SA"/>
    </w:rPr>
  </w:style>
  <w:style w:type="paragraph" w:customStyle="1" w:styleId="43">
    <w:name w:val="xl27"/>
    <w:basedOn w:val="1"/>
    <w:next w:val="1"/>
    <w:qFormat/>
    <w:uiPriority w:val="0"/>
    <w:pPr>
      <w:widowControl/>
      <w:pBdr>
        <w:bottom w:val="single" w:color="auto" w:sz="12" w:space="0"/>
        <w:right w:val="single" w:color="auto" w:sz="12" w:space="0"/>
      </w:pBdr>
      <w:spacing w:before="100" w:beforeAutospacing="1" w:after="100" w:afterAutospacing="1" w:line="480" w:lineRule="exact"/>
      <w:ind w:firstLine="0" w:firstLineChars="0"/>
      <w:jc w:val="center"/>
    </w:pPr>
    <w:rPr>
      <w:kern w:val="0"/>
      <w:sz w:val="21"/>
      <w:szCs w:val="21"/>
    </w:rPr>
  </w:style>
  <w:style w:type="paragraph" w:customStyle="1" w:styleId="44">
    <w:name w:val="标题2"/>
    <w:next w:val="1"/>
    <w:qFormat/>
    <w:uiPriority w:val="0"/>
    <w:pPr>
      <w:widowControl w:val="0"/>
      <w:jc w:val="both"/>
    </w:pPr>
    <w:rPr>
      <w:rFonts w:ascii="宋体" w:hAnsi="宋体" w:eastAsia="宋体" w:cs="Times New Roman"/>
      <w:b/>
      <w:kern w:val="0"/>
      <w:sz w:val="24"/>
      <w:szCs w:val="24"/>
      <w:lang w:val="en-US" w:eastAsia="zh-CN" w:bidi="ar-SA"/>
    </w:rPr>
  </w:style>
  <w:style w:type="paragraph" w:customStyle="1" w:styleId="45">
    <w:name w:val="1正文段落"/>
    <w:qFormat/>
    <w:uiPriority w:val="0"/>
    <w:pPr>
      <w:widowControl w:val="0"/>
      <w:spacing w:line="360" w:lineRule="auto"/>
      <w:ind w:firstLine="200" w:firstLineChars="200"/>
      <w:jc w:val="left"/>
    </w:pPr>
    <w:rPr>
      <w:rFonts w:ascii="Calibri" w:hAnsi="Calibri" w:eastAsia="宋体" w:cs="Times New Roman"/>
      <w:snapToGrid w:val="0"/>
      <w:kern w:val="0"/>
      <w:sz w:val="24"/>
      <w:szCs w:val="24"/>
      <w:lang w:val="en-US" w:eastAsia="zh-CN" w:bidi="ar-SA"/>
    </w:rPr>
  </w:style>
  <w:style w:type="paragraph" w:customStyle="1" w:styleId="46">
    <w:name w:val="样式3"/>
    <w:basedOn w:val="21"/>
    <w:next w:val="47"/>
    <w:qFormat/>
    <w:uiPriority w:val="0"/>
    <w:pPr>
      <w:autoSpaceDE w:val="0"/>
      <w:autoSpaceDN w:val="0"/>
      <w:snapToGrid w:val="0"/>
      <w:spacing w:before="120" w:line="460" w:lineRule="atLeast"/>
      <w:jc w:val="center"/>
    </w:pPr>
    <w:rPr>
      <w:rFonts w:eastAsia="黑体"/>
      <w:sz w:val="28"/>
    </w:rPr>
  </w:style>
  <w:style w:type="paragraph" w:customStyle="1" w:styleId="47">
    <w:name w:val="目录 53"/>
    <w:basedOn w:val="1"/>
    <w:next w:val="1"/>
    <w:qFormat/>
    <w:uiPriority w:val="0"/>
    <w:pPr>
      <w:ind w:left="840"/>
    </w:pPr>
    <w:rPr>
      <w:rFonts w:cs="宋体"/>
      <w:color w:val="000000"/>
    </w:rPr>
  </w:style>
  <w:style w:type="paragraph" w:customStyle="1" w:styleId="48">
    <w:name w:val="样式 小四 行距: 1.5 倍行距"/>
    <w:basedOn w:val="1"/>
    <w:qFormat/>
    <w:uiPriority w:val="0"/>
    <w:pPr>
      <w:ind w:firstLine="480" w:firstLineChars="200"/>
    </w:pPr>
    <w:rPr>
      <w:rFonts w:hint="default" w:cs="宋体"/>
    </w:rPr>
  </w:style>
  <w:style w:type="paragraph" w:customStyle="1" w:styleId="49">
    <w:name w:val="A正文"/>
    <w:basedOn w:val="1"/>
    <w:next w:val="10"/>
    <w:qFormat/>
    <w:uiPriority w:val="0"/>
  </w:style>
  <w:style w:type="character" w:customStyle="1" w:styleId="50">
    <w:name w:val="正文文本 Char"/>
    <w:link w:val="10"/>
    <w:qFormat/>
    <w:locked/>
    <w:uiPriority w:val="0"/>
    <w:rPr>
      <w:sz w:val="18"/>
    </w:rPr>
  </w:style>
  <w:style w:type="character" w:customStyle="1" w:styleId="51">
    <w:name w:val="页脚 Char"/>
    <w:link w:val="17"/>
    <w:qFormat/>
    <w:locked/>
    <w:uiPriority w:val="99"/>
    <w:rPr>
      <w:sz w:val="18"/>
    </w:rPr>
  </w:style>
  <w:style w:type="character" w:customStyle="1" w:styleId="52">
    <w:name w:val="日期 Char"/>
    <w:link w:val="14"/>
    <w:qFormat/>
    <w:locked/>
    <w:uiPriority w:val="0"/>
    <w:rPr>
      <w:rFonts w:ascii="Times New Roman" w:hAnsi="Times New Roman" w:eastAsia="宋体"/>
      <w:sz w:val="24"/>
    </w:rPr>
  </w:style>
  <w:style w:type="character" w:customStyle="1" w:styleId="53">
    <w:name w:val="页脚 字符"/>
    <w:basedOn w:val="34"/>
    <w:qFormat/>
    <w:uiPriority w:val="99"/>
  </w:style>
  <w:style w:type="character" w:customStyle="1" w:styleId="54">
    <w:name w:val="普通(网站) Char"/>
    <w:link w:val="28"/>
    <w:qFormat/>
    <w:locked/>
    <w:uiPriority w:val="0"/>
    <w:rPr>
      <w:rFonts w:ascii="宋体" w:hAnsi="宋体" w:eastAsia="宋体"/>
      <w:sz w:val="24"/>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批注文字 Char"/>
    <w:link w:val="8"/>
    <w:qFormat/>
    <w:locked/>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2"/>
    <w:next w:val="1"/>
    <w:link w:val="57"/>
    <w:qFormat/>
    <w:uiPriority w:val="0"/>
    <w:pPr>
      <w:adjustRightInd w:val="0"/>
      <w:snapToGrid w:val="0"/>
      <w:spacing w:beforeLines="10" w:afterLines="10" w:line="259" w:lineRule="auto"/>
      <w:jc w:val="center"/>
    </w:pPr>
    <w:rPr>
      <w:rFonts w:ascii="宋体"/>
      <w:kern w:val="0"/>
      <w:szCs w:val="20"/>
    </w:rPr>
  </w:style>
  <w:style w:type="paragraph" w:customStyle="1" w:styleId="59">
    <w:name w:val="表头"/>
    <w:basedOn w:val="60"/>
    <w:next w:val="1"/>
    <w:link w:val="91"/>
    <w:qFormat/>
    <w:uiPriority w:val="0"/>
    <w:pPr>
      <w:adjustRightInd w:val="0"/>
      <w:spacing w:line="320" w:lineRule="atLeast"/>
      <w:jc w:val="center"/>
    </w:pPr>
    <w:rPr>
      <w:rFonts w:ascii="黑体" w:hAnsi="黑体" w:eastAsia="黑体"/>
      <w:spacing w:val="-10"/>
      <w:kern w:val="0"/>
      <w:szCs w:val="20"/>
    </w:rPr>
  </w:style>
  <w:style w:type="paragraph" w:customStyle="1" w:styleId="60">
    <w:name w:val="文本"/>
    <w:basedOn w:val="1"/>
    <w:qFormat/>
    <w:uiPriority w:val="0"/>
    <w:pPr>
      <w:adjustRightInd w:val="0"/>
      <w:snapToGrid w:val="0"/>
      <w:spacing w:line="360" w:lineRule="auto"/>
      <w:ind w:firstLine="720" w:firstLineChars="200"/>
    </w:pPr>
    <w:rPr>
      <w:rFonts w:ascii="Times New Roman" w:hAnsi="Times New Roman"/>
    </w:rPr>
  </w:style>
  <w:style w:type="character" w:customStyle="1" w:styleId="61">
    <w:name w:val="日期 字符"/>
    <w:semiHidden/>
    <w:qFormat/>
    <w:uiPriority w:val="0"/>
    <w:rPr>
      <w:rFonts w:ascii="Times New Roman" w:hAnsi="Times New Roman" w:eastAsia="宋体"/>
      <w:sz w:val="24"/>
    </w:rPr>
  </w:style>
  <w:style w:type="character" w:customStyle="1" w:styleId="62">
    <w:name w:val="批注框文本 Char"/>
    <w:link w:val="16"/>
    <w:semiHidden/>
    <w:qFormat/>
    <w:locked/>
    <w:uiPriority w:val="0"/>
    <w:rPr>
      <w:rFonts w:ascii="Times New Roman" w:hAnsi="Times New Roman" w:eastAsia="宋体"/>
      <w:sz w:val="18"/>
    </w:rPr>
  </w:style>
  <w:style w:type="character" w:customStyle="1" w:styleId="63">
    <w:name w:val="批注主题 Char"/>
    <w:link w:val="29"/>
    <w:semiHidden/>
    <w:qFormat/>
    <w:locked/>
    <w:uiPriority w:val="0"/>
    <w:rPr>
      <w:rFonts w:ascii="Times New Roman" w:hAnsi="Times New Roman" w:eastAsia="宋体"/>
      <w:b/>
      <w:kern w:val="2"/>
      <w:sz w:val="24"/>
    </w:rPr>
  </w:style>
  <w:style w:type="character" w:customStyle="1" w:styleId="64">
    <w:name w:val="页眉 Char"/>
    <w:link w:val="19"/>
    <w:qFormat/>
    <w:locked/>
    <w:uiPriority w:val="0"/>
    <w:rPr>
      <w:sz w:val="18"/>
    </w:rPr>
  </w:style>
  <w:style w:type="character" w:customStyle="1" w:styleId="65">
    <w:name w:val="批注文字 字符1"/>
    <w:semiHidden/>
    <w:qFormat/>
    <w:uiPriority w:val="0"/>
    <w:rPr>
      <w:rFonts w:ascii="Times New Roman" w:hAnsi="Times New Roman" w:eastAsia="宋体"/>
      <w:sz w:val="24"/>
    </w:rPr>
  </w:style>
  <w:style w:type="character" w:customStyle="1" w:styleId="66">
    <w:name w:val="正文文本缩进 Char"/>
    <w:link w:val="11"/>
    <w:semiHidden/>
    <w:qFormat/>
    <w:locked/>
    <w:uiPriority w:val="0"/>
    <w:rPr>
      <w:rFonts w:ascii="Times New Roman" w:hAnsi="Times New Roman" w:eastAsia="宋体"/>
      <w:sz w:val="24"/>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9">
    <w:name w:val="正文文本缩进 3 Char"/>
    <w:basedOn w:val="34"/>
    <w:link w:val="26"/>
    <w:qFormat/>
    <w:uiPriority w:val="0"/>
    <w:rPr>
      <w:kern w:val="2"/>
      <w:sz w:val="16"/>
      <w:szCs w:val="16"/>
    </w:rPr>
  </w:style>
  <w:style w:type="paragraph" w:styleId="70">
    <w:name w:val="List Paragraph"/>
    <w:basedOn w:val="1"/>
    <w:qFormat/>
    <w:uiPriority w:val="99"/>
    <w:pPr>
      <w:ind w:firstLine="420" w:firstLineChars="200"/>
    </w:pPr>
  </w:style>
  <w:style w:type="character" w:customStyle="1" w:styleId="71">
    <w:name w:val="列表 Char"/>
    <w:link w:val="25"/>
    <w:qFormat/>
    <w:locked/>
    <w:uiPriority w:val="0"/>
    <w:rPr>
      <w:rFonts w:ascii="仿宋_GB2312" w:eastAsia="仿宋_GB2312"/>
      <w:kern w:val="2"/>
      <w:sz w:val="21"/>
    </w:rPr>
  </w:style>
  <w:style w:type="character" w:customStyle="1" w:styleId="72">
    <w:name w:val="Body Text 21 Char"/>
    <w:link w:val="73"/>
    <w:qFormat/>
    <w:locked/>
    <w:uiPriority w:val="0"/>
    <w:rPr>
      <w:rFonts w:ascii="仿宋_GB2312" w:eastAsia="仿宋体"/>
      <w:kern w:val="2"/>
      <w:sz w:val="24"/>
    </w:rPr>
  </w:style>
  <w:style w:type="paragraph" w:customStyle="1" w:styleId="73">
    <w:name w:val="Body Text 21"/>
    <w:basedOn w:val="1"/>
    <w:link w:val="72"/>
    <w:qFormat/>
    <w:uiPriority w:val="0"/>
    <w:pPr>
      <w:adjustRightInd w:val="0"/>
    </w:pPr>
    <w:rPr>
      <w:rFonts w:ascii="仿宋_GB2312" w:eastAsia="仿宋体"/>
      <w:sz w:val="24"/>
      <w:szCs w:val="20"/>
    </w:rPr>
  </w:style>
  <w:style w:type="paragraph" w:customStyle="1" w:styleId="7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75">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character" w:customStyle="1" w:styleId="76">
    <w:name w:val="纯文本 Char"/>
    <w:basedOn w:val="34"/>
    <w:link w:val="12"/>
    <w:qFormat/>
    <w:locked/>
    <w:uiPriority w:val="99"/>
    <w:rPr>
      <w:rFonts w:ascii="宋体" w:hAnsi="Courier New" w:cs="Courier New"/>
      <w:kern w:val="2"/>
      <w:sz w:val="21"/>
      <w:szCs w:val="21"/>
    </w:rPr>
  </w:style>
  <w:style w:type="character" w:customStyle="1" w:styleId="77">
    <w:name w:val="纯文本 Char1"/>
    <w:basedOn w:val="34"/>
    <w:link w:val="12"/>
    <w:qFormat/>
    <w:uiPriority w:val="0"/>
    <w:rPr>
      <w:rFonts w:ascii="宋体" w:hAnsi="Courier New" w:cs="Courier New"/>
      <w:kern w:val="2"/>
      <w:sz w:val="21"/>
      <w:szCs w:val="21"/>
    </w:rPr>
  </w:style>
  <w:style w:type="character" w:customStyle="1" w:styleId="78">
    <w:name w:val="报告书正文 Char"/>
    <w:link w:val="79"/>
    <w:qFormat/>
    <w:locked/>
    <w:uiPriority w:val="0"/>
    <w:rPr>
      <w:rFonts w:ascii="宋体" w:hAnsi="宋体"/>
      <w:sz w:val="28"/>
      <w:szCs w:val="24"/>
    </w:rPr>
  </w:style>
  <w:style w:type="paragraph" w:customStyle="1" w:styleId="79">
    <w:name w:val="报告书正文"/>
    <w:basedOn w:val="1"/>
    <w:link w:val="78"/>
    <w:qFormat/>
    <w:uiPriority w:val="0"/>
    <w:pPr>
      <w:spacing w:line="360" w:lineRule="auto"/>
      <w:ind w:firstLine="560" w:firstLineChars="200"/>
    </w:pPr>
    <w:rPr>
      <w:rFonts w:ascii="宋体" w:hAnsi="宋体"/>
      <w:kern w:val="0"/>
      <w:sz w:val="28"/>
    </w:rPr>
  </w:style>
  <w:style w:type="character" w:customStyle="1" w:styleId="80">
    <w:name w:val="表格 居中 Char Char"/>
    <w:link w:val="81"/>
    <w:qFormat/>
    <w:locked/>
    <w:uiPriority w:val="0"/>
    <w:rPr>
      <w:rFonts w:ascii="仿宋" w:hAnsi="仿宋" w:eastAsia="仿宋"/>
      <w:sz w:val="21"/>
      <w:szCs w:val="21"/>
    </w:rPr>
  </w:style>
  <w:style w:type="paragraph" w:customStyle="1" w:styleId="81">
    <w:name w:val="表格 居中"/>
    <w:link w:val="80"/>
    <w:qFormat/>
    <w:uiPriority w:val="0"/>
    <w:pPr>
      <w:widowControl w:val="0"/>
      <w:jc w:val="center"/>
    </w:pPr>
    <w:rPr>
      <w:rFonts w:ascii="仿宋" w:hAnsi="仿宋" w:eastAsia="仿宋" w:cs="Times New Roman"/>
      <w:sz w:val="21"/>
      <w:szCs w:val="21"/>
      <w:lang w:val="en-US" w:eastAsia="zh-CN" w:bidi="ar-SA"/>
    </w:rPr>
  </w:style>
  <w:style w:type="paragraph" w:customStyle="1" w:styleId="82">
    <w:name w:val="无间隔2"/>
    <w:qFormat/>
    <w:uiPriority w:val="0"/>
    <w:pPr>
      <w:widowControl w:val="0"/>
      <w:jc w:val="center"/>
    </w:pPr>
    <w:rPr>
      <w:rFonts w:ascii="宋体" w:hAnsi="Courier New" w:eastAsia="仿宋_GB2312" w:cs="Times New Roman"/>
      <w:kern w:val="2"/>
      <w:sz w:val="24"/>
      <w:lang w:val="en-US" w:eastAsia="zh-CN" w:bidi="ar-SA"/>
    </w:rPr>
  </w:style>
  <w:style w:type="paragraph" w:customStyle="1" w:styleId="83">
    <w:name w:val="No Spacing1"/>
    <w:qFormat/>
    <w:uiPriority w:val="0"/>
    <w:pPr>
      <w:widowControl w:val="0"/>
      <w:jc w:val="center"/>
    </w:pPr>
    <w:rPr>
      <w:rFonts w:ascii="宋体" w:hAnsi="Courier New" w:eastAsia="仿宋_GB2312" w:cs="Times New Roman"/>
      <w:kern w:val="2"/>
      <w:sz w:val="24"/>
      <w:szCs w:val="22"/>
      <w:lang w:val="en-US" w:eastAsia="zh-CN" w:bidi="ar-SA"/>
    </w:rPr>
  </w:style>
  <w:style w:type="paragraph" w:customStyle="1" w:styleId="84">
    <w:name w:val="无间隔1"/>
    <w:qFormat/>
    <w:uiPriority w:val="0"/>
    <w:pPr>
      <w:widowControl w:val="0"/>
      <w:jc w:val="center"/>
    </w:pPr>
    <w:rPr>
      <w:rFonts w:ascii="宋体" w:hAnsi="Courier New" w:eastAsia="仿宋_GB2312" w:cs="Times New Roman"/>
      <w:kern w:val="2"/>
      <w:sz w:val="24"/>
      <w:lang w:val="en-US" w:eastAsia="zh-CN" w:bidi="ar-SA"/>
    </w:rPr>
  </w:style>
  <w:style w:type="character" w:customStyle="1" w:styleId="85">
    <w:name w:val="正文首行缩进 Char"/>
    <w:basedOn w:val="34"/>
    <w:link w:val="30"/>
    <w:qFormat/>
    <w:locked/>
    <w:uiPriority w:val="99"/>
    <w:rPr>
      <w:kern w:val="2"/>
      <w:sz w:val="21"/>
    </w:rPr>
  </w:style>
  <w:style w:type="character" w:customStyle="1" w:styleId="86">
    <w:name w:val="正文首行缩进 Char1"/>
    <w:basedOn w:val="50"/>
    <w:link w:val="30"/>
    <w:qFormat/>
    <w:uiPriority w:val="0"/>
    <w:rPr>
      <w:kern w:val="2"/>
      <w:sz w:val="21"/>
      <w:szCs w:val="24"/>
    </w:rPr>
  </w:style>
  <w:style w:type="character" w:customStyle="1" w:styleId="87">
    <w:name w:val="报告表格 Char"/>
    <w:link w:val="88"/>
    <w:qFormat/>
    <w:locked/>
    <w:uiPriority w:val="0"/>
    <w:rPr>
      <w:sz w:val="21"/>
    </w:rPr>
  </w:style>
  <w:style w:type="paragraph" w:customStyle="1" w:styleId="88">
    <w:name w:val="报告表格"/>
    <w:basedOn w:val="1"/>
    <w:link w:val="87"/>
    <w:qFormat/>
    <w:uiPriority w:val="0"/>
    <w:pPr>
      <w:autoSpaceDE w:val="0"/>
      <w:autoSpaceDN w:val="0"/>
      <w:adjustRightInd w:val="0"/>
      <w:spacing w:before="40" w:after="40"/>
      <w:jc w:val="center"/>
    </w:pPr>
    <w:rPr>
      <w:kern w:val="0"/>
      <w:szCs w:val="20"/>
    </w:rPr>
  </w:style>
  <w:style w:type="character" w:customStyle="1" w:styleId="89">
    <w:name w:val="样式1 Char"/>
    <w:link w:val="90"/>
    <w:qFormat/>
    <w:locked/>
    <w:uiPriority w:val="0"/>
    <w:rPr>
      <w:kern w:val="2"/>
      <w:sz w:val="21"/>
    </w:rPr>
  </w:style>
  <w:style w:type="paragraph" w:customStyle="1" w:styleId="90">
    <w:name w:val="样式1"/>
    <w:basedOn w:val="1"/>
    <w:link w:val="89"/>
    <w:qFormat/>
    <w:uiPriority w:val="0"/>
    <w:rPr>
      <w:szCs w:val="20"/>
    </w:rPr>
  </w:style>
  <w:style w:type="character" w:customStyle="1" w:styleId="91">
    <w:name w:val="表头 Char"/>
    <w:link w:val="59"/>
    <w:qFormat/>
    <w:locked/>
    <w:uiPriority w:val="0"/>
    <w:rPr>
      <w:rFonts w:ascii="黑体" w:hAnsi="黑体" w:eastAsia="黑体"/>
      <w:spacing w:val="-10"/>
      <w:sz w:val="21"/>
    </w:rPr>
  </w:style>
  <w:style w:type="character" w:customStyle="1" w:styleId="92">
    <w:name w:val="正文01 Char Char"/>
    <w:link w:val="93"/>
    <w:qFormat/>
    <w:locked/>
    <w:uiPriority w:val="0"/>
    <w:rPr>
      <w:sz w:val="24"/>
    </w:rPr>
  </w:style>
  <w:style w:type="paragraph" w:customStyle="1" w:styleId="93">
    <w:name w:val="正文01"/>
    <w:basedOn w:val="1"/>
    <w:link w:val="92"/>
    <w:qFormat/>
    <w:uiPriority w:val="0"/>
    <w:pPr>
      <w:spacing w:before="60" w:line="460" w:lineRule="exact"/>
      <w:ind w:firstLine="200" w:firstLineChars="200"/>
    </w:pPr>
    <w:rPr>
      <w:kern w:val="0"/>
      <w:sz w:val="24"/>
      <w:szCs w:val="20"/>
    </w:rPr>
  </w:style>
  <w:style w:type="paragraph" w:customStyle="1" w:styleId="94">
    <w:name w:val="Table Paragraph"/>
    <w:basedOn w:val="1"/>
    <w:qFormat/>
    <w:uiPriority w:val="1"/>
    <w:pPr>
      <w:jc w:val="left"/>
    </w:pPr>
    <w:rPr>
      <w:rFonts w:asciiTheme="minorHAnsi" w:hAnsiTheme="minorHAnsi" w:eastAsiaTheme="minorEastAsia" w:cstheme="minorBidi"/>
      <w:kern w:val="0"/>
      <w:sz w:val="22"/>
      <w:szCs w:val="22"/>
      <w:lang w:eastAsia="en-US"/>
    </w:rPr>
  </w:style>
  <w:style w:type="table" w:customStyle="1" w:styleId="95">
    <w:name w:val="Table Normal"/>
    <w:semiHidden/>
    <w:qFormat/>
    <w:uiPriority w:val="2"/>
    <w:pPr>
      <w:widowControl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character" w:customStyle="1" w:styleId="96">
    <w:name w:val="正文缩进 Char"/>
    <w:link w:val="6"/>
    <w:qFormat/>
    <w:locked/>
    <w:uiPriority w:val="0"/>
    <w:rPr>
      <w:kern w:val="2"/>
      <w:sz w:val="21"/>
      <w:szCs w:val="24"/>
    </w:rPr>
  </w:style>
  <w:style w:type="paragraph" w:customStyle="1" w:styleId="97">
    <w:name w:val="中文报告书样式"/>
    <w:basedOn w:val="1"/>
    <w:qFormat/>
    <w:uiPriority w:val="99"/>
    <w:pPr>
      <w:adjustRightInd w:val="0"/>
      <w:spacing w:line="480" w:lineRule="atLeast"/>
      <w:ind w:firstLine="482"/>
    </w:pPr>
    <w:rPr>
      <w:kern w:val="24"/>
      <w:sz w:val="24"/>
      <w:szCs w:val="20"/>
    </w:rPr>
  </w:style>
  <w:style w:type="paragraph" w:customStyle="1" w:styleId="98">
    <w:name w:val="首行缩进"/>
    <w:basedOn w:val="1"/>
    <w:qFormat/>
    <w:uiPriority w:val="99"/>
    <w:pPr>
      <w:spacing w:line="360" w:lineRule="auto"/>
      <w:ind w:firstLine="480" w:firstLineChars="200"/>
    </w:pPr>
    <w:rPr>
      <w:sz w:val="24"/>
    </w:rPr>
  </w:style>
  <w:style w:type="paragraph" w:customStyle="1" w:styleId="99">
    <w:name w:val="Heading 2"/>
    <w:basedOn w:val="1"/>
    <w:qFormat/>
    <w:uiPriority w:val="1"/>
    <w:pPr>
      <w:ind w:left="976"/>
      <w:jc w:val="left"/>
      <w:outlineLvl w:val="2"/>
    </w:pPr>
    <w:rPr>
      <w:rFonts w:ascii="宋体" w:hAnsi="宋体" w:cstheme="minorBidi"/>
      <w:b/>
      <w:bCs/>
      <w:kern w:val="0"/>
      <w:szCs w:val="21"/>
      <w:lang w:eastAsia="en-US"/>
    </w:rPr>
  </w:style>
  <w:style w:type="paragraph" w:customStyle="1" w:styleId="100">
    <w:name w:val="正本文字"/>
    <w:unhideWhenUsed/>
    <w:qFormat/>
    <w:uiPriority w:val="0"/>
    <w:pPr>
      <w:widowControl w:val="0"/>
      <w:adjustRightInd w:val="0"/>
      <w:snapToGrid w:val="0"/>
      <w:spacing w:line="360" w:lineRule="auto"/>
      <w:ind w:firstLine="480" w:firstLineChars="200"/>
    </w:pPr>
    <w:rPr>
      <w:rFonts w:ascii="Times New Roman" w:hAnsi="Times New Roman" w:eastAsia="宋体" w:cs="Times New Roman"/>
      <w:kern w:val="18"/>
      <w:sz w:val="24"/>
      <w:lang w:val="en-US" w:eastAsia="zh-CN" w:bidi="ar-SA"/>
    </w:rPr>
  </w:style>
  <w:style w:type="paragraph" w:customStyle="1" w:styleId="101">
    <w:name w:val="表格 32"/>
    <w:basedOn w:val="1"/>
    <w:qFormat/>
    <w:uiPriority w:val="0"/>
    <w:pPr>
      <w:autoSpaceDE w:val="0"/>
      <w:autoSpaceDN w:val="0"/>
      <w:adjustRightInd w:val="0"/>
      <w:spacing w:line="360" w:lineRule="auto"/>
      <w:jc w:val="center"/>
      <w:textAlignment w:val="baseline"/>
    </w:pPr>
    <w:rPr>
      <w:rFonts w:eastAsia="楷体_GB2312"/>
      <w:kern w:val="0"/>
      <w:sz w:val="24"/>
      <w:szCs w:val="20"/>
    </w:rPr>
  </w:style>
  <w:style w:type="paragraph" w:customStyle="1" w:styleId="102">
    <w:name w:val="正文小四"/>
    <w:basedOn w:val="1"/>
    <w:qFormat/>
    <w:uiPriority w:val="0"/>
    <w:pPr>
      <w:spacing w:line="360" w:lineRule="auto"/>
    </w:pPr>
    <w:rPr>
      <w:sz w:val="24"/>
      <w:szCs w:val="20"/>
    </w:rPr>
  </w:style>
  <w:style w:type="paragraph" w:customStyle="1" w:styleId="103">
    <w:name w:val="T表格"/>
    <w:qFormat/>
    <w:uiPriority w:val="0"/>
    <w:pPr>
      <w:adjustRightInd w:val="0"/>
      <w:snapToGrid w:val="0"/>
      <w:spacing w:line="360" w:lineRule="auto"/>
      <w:jc w:val="center"/>
    </w:pPr>
    <w:rPr>
      <w:rFonts w:ascii="Times New Roman" w:hAnsi="Times New Roman" w:eastAsia="宋体" w:cs="Times New Roman"/>
      <w:color w:val="000000"/>
      <w:sz w:val="21"/>
      <w:szCs w:val="21"/>
      <w:lang w:val="en-US" w:eastAsia="zh-CN" w:bidi="ar-SA"/>
    </w:rPr>
  </w:style>
  <w:style w:type="paragraph" w:customStyle="1" w:styleId="104">
    <w:name w:val="表格-可研"/>
    <w:basedOn w:val="58"/>
    <w:next w:val="1"/>
    <w:qFormat/>
    <w:uiPriority w:val="0"/>
    <w:pPr>
      <w:autoSpaceDE w:val="0"/>
      <w:autoSpaceDN w:val="0"/>
      <w:spacing w:beforeLines="20" w:afterLines="20" w:line="240" w:lineRule="auto"/>
      <w:textAlignment w:val="center"/>
    </w:pPr>
    <w:rPr>
      <w:rFonts w:eastAsia="宋体"/>
      <w:color w:val="000000"/>
    </w:rPr>
  </w:style>
  <w:style w:type="paragraph" w:customStyle="1" w:styleId="105">
    <w:name w:val="Body text|1"/>
    <w:basedOn w:val="1"/>
    <w:qFormat/>
    <w:uiPriority w:val="0"/>
    <w:pPr>
      <w:spacing w:line="403" w:lineRule="auto"/>
      <w:ind w:firstLine="400"/>
      <w:jc w:val="left"/>
    </w:pPr>
    <w:rPr>
      <w:rFonts w:ascii="MingLiU" w:hAnsi="MingLiU" w:eastAsia="MingLiU" w:cs="MingLiU"/>
      <w:sz w:val="19"/>
      <w:szCs w:val="19"/>
      <w:lang w:val="zh-TW" w:eastAsia="zh-TW" w:bidi="zh-TW"/>
    </w:rPr>
  </w:style>
  <w:style w:type="paragraph" w:customStyle="1" w:styleId="106">
    <w:name w:val="标准段落"/>
    <w:next w:val="1"/>
    <w:qFormat/>
    <w:uiPriority w:val="0"/>
    <w:pPr>
      <w:widowControl w:val="0"/>
      <w:spacing w:line="360" w:lineRule="auto"/>
      <w:ind w:firstLine="480" w:firstLineChars="200"/>
      <w:jc w:val="both"/>
    </w:pPr>
    <w:rPr>
      <w:rFonts w:ascii="Times New Roman" w:hAnsi="宋体" w:eastAsia="宋体" w:cs="Times New Roman"/>
      <w:color w:val="000000"/>
      <w:kern w:val="2"/>
      <w:sz w:val="24"/>
      <w:szCs w:val="24"/>
      <w:lang w:val="en-US" w:eastAsia="zh-CN" w:bidi="ar-SA"/>
    </w:rPr>
  </w:style>
  <w:style w:type="paragraph" w:customStyle="1" w:styleId="107">
    <w:name w:val="正文文本缩进1"/>
    <w:qFormat/>
    <w:uiPriority w:val="0"/>
    <w:pPr>
      <w:widowControl w:val="0"/>
      <w:spacing w:after="120"/>
      <w:ind w:left="420" w:leftChars="200"/>
      <w:jc w:val="both"/>
    </w:pPr>
    <w:rPr>
      <w:rFonts w:ascii="Times New Roman" w:hAnsi="Times New Roman" w:eastAsia="宋体" w:cs="Times New Roman"/>
      <w:snapToGrid w:val="0"/>
      <w:sz w:val="24"/>
      <w:szCs w:val="24"/>
      <w:lang w:val="en-US" w:eastAsia="zh-CN" w:bidi="ar-SA"/>
    </w:rPr>
  </w:style>
  <w:style w:type="paragraph" w:customStyle="1" w:styleId="108">
    <w:name w:val="正文缩进1"/>
    <w:qFormat/>
    <w:uiPriority w:val="0"/>
    <w:pPr>
      <w:widowControl w:val="0"/>
      <w:ind w:firstLine="420" w:firstLineChars="200"/>
      <w:jc w:val="both"/>
    </w:pPr>
    <w:rPr>
      <w:rFonts w:ascii="Times New Roman" w:hAnsi="Times New Roman" w:eastAsia="宋体" w:cs="Times New Roman"/>
      <w:snapToGrid w:val="0"/>
      <w:sz w:val="20"/>
      <w:szCs w:val="24"/>
      <w:lang w:val="en-US" w:eastAsia="zh-CN" w:bidi="ar-SA"/>
    </w:rPr>
  </w:style>
  <w:style w:type="paragraph" w:customStyle="1" w:styleId="109">
    <w:name w:val="xl22"/>
    <w:qFormat/>
    <w:uiPriority w:val="0"/>
    <w:pPr>
      <w:widowControl/>
      <w:spacing w:before="100" w:after="100"/>
      <w:jc w:val="center"/>
    </w:pPr>
    <w:rPr>
      <w:rFonts w:ascii="Times New Roman" w:hAnsi="Times New Roman" w:eastAsia="宋体" w:cs="Times New Roman"/>
      <w:snapToGrid/>
      <w:sz w:val="24"/>
      <w:szCs w:val="24"/>
      <w:lang w:val="en-US" w:eastAsia="zh-CN" w:bidi="ar-SA"/>
    </w:rPr>
  </w:style>
  <w:style w:type="paragraph" w:customStyle="1" w:styleId="110">
    <w:name w:val="正文000"/>
    <w:qFormat/>
    <w:uiPriority w:val="0"/>
    <w:pPr>
      <w:widowControl w:val="0"/>
      <w:adjustRightInd w:val="0"/>
      <w:spacing w:line="360" w:lineRule="auto"/>
      <w:ind w:firstLine="480" w:firstLineChars="200"/>
      <w:jc w:val="both"/>
      <w:textAlignment w:val="center"/>
    </w:pPr>
    <w:rPr>
      <w:rFonts w:ascii="Times New Roman" w:hAnsi="Times New Roman" w:eastAsia="宋体" w:cs="Times New Roman"/>
      <w:snapToGrid w:val="0"/>
      <w:sz w:val="24"/>
      <w:szCs w:val="20"/>
      <w:lang w:val="en-US" w:eastAsia="zh-CN" w:bidi="ar-SA"/>
    </w:rPr>
  </w:style>
  <w:style w:type="paragraph" w:customStyle="1" w:styleId="111">
    <w:name w:val="表文lcc"/>
    <w:qFormat/>
    <w:uiPriority w:val="0"/>
    <w:pPr>
      <w:widowControl/>
      <w:jc w:val="center"/>
    </w:pPr>
    <w:rPr>
      <w:rFonts w:ascii="Times New Roman" w:hAnsi="Times New Roman" w:eastAsia="仿宋_GB2312" w:cs="Times New Roman"/>
      <w:snapToGrid w:val="0"/>
      <w:kern w:val="0"/>
      <w:sz w:val="24"/>
      <w:szCs w:val="24"/>
      <w:lang w:val="en-US" w:eastAsia="zh-CN" w:bidi="ar-SA"/>
    </w:rPr>
  </w:style>
  <w:style w:type="paragraph" w:customStyle="1" w:styleId="112">
    <w:name w:val="样式 正文 首行缩进:  2 字符 + 首行缩进:  2 字符"/>
    <w:qFormat/>
    <w:uiPriority w:val="0"/>
    <w:pPr>
      <w:widowControl w:val="0"/>
      <w:spacing w:line="320" w:lineRule="exact"/>
      <w:ind w:firstLine="480" w:firstLineChars="200"/>
      <w:jc w:val="both"/>
    </w:pPr>
    <w:rPr>
      <w:rFonts w:ascii="宋体" w:hAnsi="宋体" w:eastAsia="宋体" w:cs="Times New Roman"/>
      <w:snapToGrid/>
      <w:color w:val="000000"/>
      <w:kern w:val="2"/>
      <w:sz w:val="24"/>
      <w:szCs w:val="24"/>
      <w:lang w:val="en-US" w:eastAsia="zh-CN" w:bidi="ar-SA"/>
    </w:rPr>
  </w:style>
  <w:style w:type="paragraph" w:customStyle="1" w:styleId="113">
    <w:name w:val="表格内容"/>
    <w:basedOn w:val="114"/>
    <w:qFormat/>
    <w:uiPriority w:val="0"/>
    <w:pPr>
      <w:spacing w:line="240" w:lineRule="auto"/>
      <w:ind w:firstLine="0" w:firstLineChars="0"/>
      <w:jc w:val="center"/>
    </w:pPr>
    <w:rPr>
      <w:szCs w:val="24"/>
    </w:rPr>
  </w:style>
  <w:style w:type="paragraph" w:customStyle="1" w:styleId="114">
    <w:name w:val="表格标题"/>
    <w:basedOn w:val="115"/>
    <w:next w:val="113"/>
    <w:qFormat/>
    <w:uiPriority w:val="0"/>
  </w:style>
  <w:style w:type="paragraph" w:customStyle="1" w:styleId="115">
    <w:name w:val="Y-B-K"/>
    <w:basedOn w:val="116"/>
    <w:qFormat/>
    <w:uiPriority w:val="0"/>
    <w:pPr>
      <w:jc w:val="center"/>
    </w:pPr>
    <w:rPr>
      <w:b/>
    </w:rPr>
  </w:style>
  <w:style w:type="paragraph" w:customStyle="1" w:styleId="116">
    <w:name w:val="Y"/>
    <w:next w:val="12"/>
    <w:qFormat/>
    <w:uiPriority w:val="0"/>
    <w:pPr>
      <w:spacing w:line="360" w:lineRule="auto"/>
      <w:ind w:firstLine="1044" w:firstLineChars="200"/>
    </w:pPr>
    <w:rPr>
      <w:rFonts w:ascii="Times New Roman" w:hAnsi="Times New Roman" w:eastAsia="宋体" w:cs="Times New Roman"/>
      <w:sz w:val="24"/>
      <w:szCs w:val="22"/>
      <w:lang w:val="en-US" w:eastAsia="zh-CN" w:bidi="ar-SA"/>
    </w:rPr>
  </w:style>
  <w:style w:type="paragraph" w:customStyle="1" w:styleId="117">
    <w:name w:val="Y-B"/>
    <w:unhideWhenUsed/>
    <w:qFormat/>
    <w:uiPriority w:val="0"/>
    <w:pPr>
      <w:jc w:val="center"/>
    </w:pPr>
    <w:rPr>
      <w:rFonts w:ascii="Times New Roman" w:hAnsi="Times New Roman" w:eastAsia="宋体" w:cs="Times New Roman"/>
      <w:sz w:val="21"/>
      <w:szCs w:val="22"/>
      <w:lang w:val="en-US" w:eastAsia="zh-CN" w:bidi="ar-SA"/>
    </w:rPr>
  </w:style>
  <w:style w:type="paragraph" w:customStyle="1" w:styleId="118">
    <w:name w:val="其他"/>
    <w:basedOn w:val="1"/>
    <w:qFormat/>
    <w:uiPriority w:val="0"/>
    <w:pPr>
      <w:shd w:val="clear" w:color="auto" w:fill="FFFFFF"/>
      <w:jc w:val="center"/>
    </w:pPr>
    <w:rPr>
      <w:rFonts w:ascii="宋体" w:hAnsi="宋体" w:eastAsia="宋体" w:cs="宋体"/>
      <w:sz w:val="16"/>
      <w:szCs w:val="16"/>
      <w:lang w:val="zh-CN" w:eastAsia="zh-CN" w:bidi="zh-CN"/>
    </w:rPr>
  </w:style>
  <w:style w:type="character" w:customStyle="1" w:styleId="119">
    <w:name w:val="font21"/>
    <w:basedOn w:val="34"/>
    <w:qFormat/>
    <w:uiPriority w:val="0"/>
    <w:rPr>
      <w:rFonts w:hint="eastAsia" w:ascii="宋体" w:hAnsi="宋体" w:eastAsia="宋体" w:cs="宋体"/>
      <w:b/>
      <w:bCs/>
      <w:color w:val="000000"/>
      <w:sz w:val="22"/>
      <w:szCs w:val="22"/>
      <w:u w:val="none"/>
    </w:rPr>
  </w:style>
  <w:style w:type="paragraph" w:customStyle="1" w:styleId="120">
    <w:name w:val="报告正文"/>
    <w:qFormat/>
    <w:uiPriority w:val="0"/>
    <w:pPr>
      <w:spacing w:line="360" w:lineRule="auto"/>
      <w:ind w:firstLine="723" w:firstLineChars="200"/>
    </w:pPr>
    <w:rPr>
      <w:rFonts w:ascii="Times New Roman" w:hAnsi="Times New Roman" w:eastAsia="宋体" w:cs="宋体"/>
      <w:sz w:val="24"/>
      <w:szCs w:val="24"/>
      <w:lang w:val="en-US" w:eastAsia="zh-CN" w:bidi="ar-SA"/>
    </w:rPr>
  </w:style>
  <w:style w:type="paragraph" w:customStyle="1" w:styleId="121">
    <w:name w:val="表中文字"/>
    <w:qFormat/>
    <w:uiPriority w:val="99"/>
    <w:pPr>
      <w:widowControl w:val="0"/>
      <w:spacing w:line="300" w:lineRule="exact"/>
      <w:ind w:firstLine="723"/>
      <w:jc w:val="center"/>
    </w:pPr>
    <w:rPr>
      <w:rFonts w:ascii="Times New Roman" w:hAnsi="Times New Roman" w:eastAsia="宋体" w:cs="宋体"/>
      <w:color w:val="000000"/>
      <w:kern w:val="2"/>
      <w:sz w:val="21"/>
      <w:szCs w:val="24"/>
      <w:lang w:val="en-US" w:eastAsia="zh-CN" w:bidi="ar-SA"/>
    </w:rPr>
  </w:style>
  <w:style w:type="paragraph" w:customStyle="1" w:styleId="122">
    <w:name w:val="表格正文"/>
    <w:basedOn w:val="1"/>
    <w:qFormat/>
    <w:uiPriority w:val="0"/>
    <w:pPr>
      <w:widowControl/>
      <w:spacing w:line="360" w:lineRule="exact"/>
      <w:ind w:firstLine="0" w:firstLineChars="0"/>
      <w:jc w:val="center"/>
    </w:pPr>
    <w:rPr>
      <w:sz w:val="21"/>
    </w:rPr>
  </w:style>
  <w:style w:type="character" w:customStyle="1" w:styleId="123">
    <w:name w:val="font11"/>
    <w:basedOn w:val="34"/>
    <w:qFormat/>
    <w:uiPriority w:val="0"/>
    <w:rPr>
      <w:rFonts w:hint="eastAsia" w:ascii="宋体" w:hAnsi="宋体" w:eastAsia="宋体" w:cs="宋体"/>
      <w:color w:val="000000"/>
      <w:sz w:val="20"/>
      <w:szCs w:val="20"/>
      <w:u w:val="none"/>
    </w:rPr>
  </w:style>
  <w:style w:type="paragraph" w:customStyle="1" w:styleId="124">
    <w:name w:val="表头样式"/>
    <w:qFormat/>
    <w:uiPriority w:val="0"/>
    <w:pPr>
      <w:widowControl w:val="0"/>
      <w:spacing w:line="360" w:lineRule="auto"/>
      <w:jc w:val="center"/>
    </w:pPr>
    <w:rPr>
      <w:rFonts w:ascii="Times New Roman" w:hAnsi="Times New Roman" w:eastAsia="宋体" w:cs="Times New Roman"/>
      <w:b/>
      <w:kern w:val="2"/>
      <w:sz w:val="21"/>
      <w:szCs w:val="21"/>
      <w:lang w:val="en-US" w:eastAsia="zh-CN" w:bidi="ar-SA"/>
    </w:rPr>
  </w:style>
  <w:style w:type="paragraph" w:customStyle="1" w:styleId="125">
    <w:name w:val="_正文格式"/>
    <w:basedOn w:val="1"/>
    <w:qFormat/>
    <w:uiPriority w:val="0"/>
    <w:pPr>
      <w:spacing w:line="480" w:lineRule="exact"/>
      <w:ind w:firstLine="567"/>
    </w:pPr>
    <w:rPr>
      <w:rFonts w:eastAsia="仿宋_GB2312"/>
      <w:sz w:val="28"/>
    </w:rPr>
  </w:style>
  <w:style w:type="paragraph" w:customStyle="1" w:styleId="126">
    <w:name w:val="正文_7"/>
    <w:qFormat/>
    <w:uiPriority w:val="0"/>
    <w:pPr>
      <w:widowControl w:val="0"/>
      <w:jc w:val="both"/>
    </w:pPr>
    <w:rPr>
      <w:rFonts w:ascii="Calibri" w:hAnsi="Calibri" w:eastAsia="宋体" w:cs="Times New Roman"/>
      <w:kern w:val="2"/>
      <w:sz w:val="21"/>
      <w:lang w:val="en-US" w:eastAsia="zh-CN" w:bidi="ar-SA"/>
    </w:rPr>
  </w:style>
  <w:style w:type="character" w:customStyle="1" w:styleId="127">
    <w:name w:val="font41"/>
    <w:basedOn w:val="34"/>
    <w:qFormat/>
    <w:uiPriority w:val="0"/>
    <w:rPr>
      <w:rFonts w:hint="default" w:ascii="Times New Roman" w:hAnsi="Times New Roman" w:cs="Times New Roman"/>
      <w:color w:val="000000"/>
      <w:sz w:val="21"/>
      <w:szCs w:val="21"/>
      <w:u w:val="none"/>
    </w:rPr>
  </w:style>
  <w:style w:type="character" w:customStyle="1" w:styleId="128">
    <w:name w:val="font31"/>
    <w:basedOn w:val="34"/>
    <w:qFormat/>
    <w:uiPriority w:val="0"/>
    <w:rPr>
      <w:rFonts w:hint="default" w:ascii="Times New Roman" w:hAnsi="Times New Roman" w:cs="Times New Roman"/>
      <w:b/>
      <w:bCs/>
      <w:color w:val="000000"/>
      <w:sz w:val="21"/>
      <w:szCs w:val="21"/>
      <w:u w:val="none"/>
      <w:vertAlign w:val="subscript"/>
    </w:rPr>
  </w:style>
  <w:style w:type="paragraph" w:customStyle="1" w:styleId="129">
    <w:name w:val="表题"/>
    <w:basedOn w:val="7"/>
    <w:next w:val="113"/>
    <w:qFormat/>
    <w:uiPriority w:val="0"/>
    <w:pPr>
      <w:spacing w:before="120" w:beforeLines="50" w:line="240" w:lineRule="auto"/>
      <w:jc w:val="center"/>
    </w:pPr>
    <w:rPr>
      <w:rFonts w:ascii="Times New Roman" w:hAnsi="Times New Roman" w:eastAsia="宋体" w:cstheme="minorBidi"/>
      <w:b/>
      <w:kern w:val="0"/>
      <w:sz w:val="21"/>
      <w:szCs w:val="52"/>
    </w:rPr>
  </w:style>
  <w:style w:type="character" w:customStyle="1" w:styleId="130">
    <w:name w:val="font71"/>
    <w:basedOn w:val="34"/>
    <w:qFormat/>
    <w:uiPriority w:val="0"/>
    <w:rPr>
      <w:rFonts w:hint="default" w:ascii="Times New Roman" w:hAnsi="Times New Roman" w:cs="Times New Roman"/>
      <w:b/>
      <w:bCs/>
      <w:color w:val="000000"/>
      <w:sz w:val="21"/>
      <w:szCs w:val="21"/>
      <w:u w:val="none"/>
    </w:rPr>
  </w:style>
  <w:style w:type="character" w:customStyle="1" w:styleId="131">
    <w:name w:val="font61"/>
    <w:basedOn w:val="34"/>
    <w:qFormat/>
    <w:uiPriority w:val="0"/>
    <w:rPr>
      <w:rFonts w:hint="eastAsia" w:ascii="宋体" w:hAnsi="宋体" w:eastAsia="宋体" w:cs="宋体"/>
      <w:b/>
      <w:bCs/>
      <w:color w:val="000000"/>
      <w:sz w:val="21"/>
      <w:szCs w:val="21"/>
      <w:u w:val="none"/>
    </w:rPr>
  </w:style>
  <w:style w:type="character" w:customStyle="1" w:styleId="132">
    <w:name w:val="font81"/>
    <w:basedOn w:val="34"/>
    <w:qFormat/>
    <w:uiPriority w:val="0"/>
    <w:rPr>
      <w:rFonts w:hint="eastAsia" w:ascii="宋体" w:hAnsi="宋体" w:eastAsia="宋体" w:cs="宋体"/>
      <w:color w:val="000000"/>
      <w:sz w:val="21"/>
      <w:szCs w:val="21"/>
      <w:u w:val="none"/>
    </w:rPr>
  </w:style>
  <w:style w:type="character" w:customStyle="1" w:styleId="133">
    <w:name w:val="font91"/>
    <w:basedOn w:val="34"/>
    <w:qFormat/>
    <w:uiPriority w:val="0"/>
    <w:rPr>
      <w:rFonts w:hint="default" w:ascii="Times New Roman" w:hAnsi="Times New Roman" w:cs="Times New Roman"/>
      <w:color w:val="000000"/>
      <w:sz w:val="21"/>
      <w:szCs w:val="21"/>
      <w:u w:val="none"/>
      <w:vertAlign w:val="superscript"/>
    </w:rPr>
  </w:style>
  <w:style w:type="character" w:customStyle="1" w:styleId="134">
    <w:name w:val="font01"/>
    <w:basedOn w:val="34"/>
    <w:qFormat/>
    <w:uiPriority w:val="0"/>
    <w:rPr>
      <w:rFonts w:hint="eastAsia" w:ascii="宋体" w:hAnsi="宋体" w:eastAsia="宋体" w:cs="宋体"/>
      <w:color w:val="000000"/>
      <w:sz w:val="22"/>
      <w:szCs w:val="22"/>
      <w:u w:val="none"/>
    </w:rPr>
  </w:style>
  <w:style w:type="paragraph" w:customStyle="1" w:styleId="135">
    <w:name w:val="报告表正文"/>
    <w:basedOn w:val="1"/>
    <w:qFormat/>
    <w:uiPriority w:val="99"/>
    <w:pPr>
      <w:spacing w:line="360" w:lineRule="auto"/>
      <w:ind w:firstLine="200"/>
    </w:pPr>
    <w:rPr>
      <w:rFonts w:ascii="Calibri" w:hAnsi="Calibri"/>
      <w:kern w:val="0"/>
      <w:sz w:val="20"/>
      <w:szCs w:val="20"/>
      <w:lang w:val="zh-CN"/>
    </w:rPr>
  </w:style>
  <w:style w:type="paragraph" w:customStyle="1" w:styleId="136">
    <w:name w:val="Table Text"/>
    <w:basedOn w:val="1"/>
    <w:semiHidden/>
    <w:qFormat/>
    <w:uiPriority w:val="0"/>
    <w:rPr>
      <w:rFonts w:ascii="宋体" w:hAnsi="宋体" w:eastAsia="宋体" w:cs="宋体"/>
      <w:sz w:val="20"/>
      <w:szCs w:val="20"/>
      <w:lang w:val="en-US" w:eastAsia="en-US" w:bidi="ar-SA"/>
    </w:rPr>
  </w:style>
  <w:style w:type="paragraph" w:customStyle="1" w:styleId="137">
    <w:name w:val="标号正文"/>
    <w:basedOn w:val="1"/>
    <w:next w:val="1"/>
    <w:autoRedefine/>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138">
    <w:name w:val="正文-"/>
    <w:basedOn w:val="1"/>
    <w:qFormat/>
    <w:uiPriority w:val="0"/>
    <w:pPr>
      <w:spacing w:line="360" w:lineRule="auto"/>
      <w:ind w:firstLine="480" w:firstLineChars="200"/>
    </w:pPr>
    <w:rPr>
      <w:sz w:val="24"/>
    </w:rPr>
  </w:style>
  <w:style w:type="paragraph" w:customStyle="1" w:styleId="139">
    <w:name w:val="样式35"/>
    <w:basedOn w:val="1"/>
    <w:next w:val="1"/>
    <w:qFormat/>
    <w:uiPriority w:val="0"/>
    <w:pPr>
      <w:adjustRightInd w:val="0"/>
      <w:spacing w:line="312" w:lineRule="auto"/>
      <w:ind w:firstLine="567"/>
    </w:pPr>
    <w:rPr>
      <w:rFonts w:ascii="宋体"/>
      <w:kern w:val="0"/>
      <w:sz w:val="28"/>
      <w:szCs w:val="20"/>
    </w:rPr>
  </w:style>
  <w:style w:type="character" w:customStyle="1" w:styleId="140">
    <w:name w:val="封面 Char"/>
    <w:link w:val="141"/>
    <w:qFormat/>
    <w:uiPriority w:val="0"/>
    <w:rPr>
      <w:rFonts w:eastAsia="华文新魏"/>
      <w:sz w:val="36"/>
      <w:szCs w:val="36"/>
      <w:u w:val="single"/>
    </w:rPr>
  </w:style>
  <w:style w:type="paragraph" w:customStyle="1" w:styleId="141">
    <w:name w:val="封面"/>
    <w:basedOn w:val="1"/>
    <w:link w:val="140"/>
    <w:qFormat/>
    <w:uiPriority w:val="0"/>
    <w:pPr>
      <w:adjustRightInd w:val="0"/>
      <w:snapToGrid w:val="0"/>
      <w:spacing w:line="288" w:lineRule="auto"/>
      <w:ind w:firstLine="1040"/>
    </w:pPr>
    <w:rPr>
      <w:rFonts w:eastAsia="华文新魏"/>
      <w:sz w:val="36"/>
      <w:szCs w:val="36"/>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Pages>56</Pages>
  <Words>32975</Words>
  <Characters>37811</Characters>
  <Lines>290</Lines>
  <Paragraphs>81</Paragraphs>
  <TotalTime>2</TotalTime>
  <ScaleCrop>false</ScaleCrop>
  <LinksUpToDate>false</LinksUpToDate>
  <CharactersWithSpaces>38161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Administrator</dc:creator>
  <cp:lastModifiedBy>江厚兵</cp:lastModifiedBy>
  <cp:lastPrinted>2023-07-03T01:38:00Z</cp:lastPrinted>
  <dcterms:modified xsi:type="dcterms:W3CDTF">2025-02-13T04:10:07Z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8AB3E0CED1E74993880067F69AF48873</vt:lpwstr>
  </property>
  <property fmtid="{D5CDD505-2E9C-101B-9397-08002B2CF9AE}" pid="4" name="KSOTemplateDocerSaveRecord">
    <vt:lpwstr>eyJoZGlkIjoiMjYzNzM3MGJjZWE0Y2JkOWM5ODdjOWRhNWZiMzRlNmQiLCJ1c2VySWQiOiIyNTczMzg3MTYifQ==</vt:lpwstr>
  </property>
</Properties>
</file>