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color w:val="000000"/>
          <w:lang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32"/>
          <w:szCs w:val="32"/>
          <w:lang w:val="en-US" w:eastAsia="zh-CN"/>
        </w:rPr>
      </w:pPr>
      <w:r>
        <w:rPr>
          <w:rFonts w:hint="eastAsia" w:ascii="方正小标宋简体" w:hAnsi="方正小标宋简体" w:eastAsia="方正小标宋简体" w:cs="方正小标宋简体"/>
          <w:color w:val="000000"/>
          <w:sz w:val="32"/>
          <w:szCs w:val="32"/>
          <w:lang w:val="en-US" w:eastAsia="zh-CN"/>
        </w:rPr>
        <w:t>2.廉政风险点情况表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32"/>
          <w:szCs w:val="32"/>
          <w:lang w:val="en-US" w:eastAsia="zh-CN"/>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724"/>
        <w:gridCol w:w="854"/>
        <w:gridCol w:w="4525"/>
        <w:gridCol w:w="684"/>
        <w:gridCol w:w="4129"/>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677" w:type="dxa"/>
            <w:tcBorders>
              <w:left w:val="single" w:color="auto" w:sz="4" w:space="0"/>
              <w:right w:val="single" w:color="auto" w:sz="4" w:space="0"/>
            </w:tcBorders>
            <w:shd w:val="clear" w:color="auto" w:fill="auto"/>
            <w:noWrap w:val="0"/>
            <w:vAlign w:val="center"/>
          </w:tcPr>
          <w:p>
            <w:pPr>
              <w:snapToGrid w:val="0"/>
              <w:spacing w:line="220" w:lineRule="exact"/>
              <w:jc w:val="center"/>
              <w:rPr>
                <w:rFonts w:hint="eastAsia" w:ascii="黑体" w:hAnsi="黑体" w:eastAsia="黑体" w:cs="黑体"/>
                <w:color w:val="000000"/>
                <w:szCs w:val="21"/>
              </w:rPr>
            </w:pPr>
            <w:r>
              <w:rPr>
                <w:rFonts w:hint="eastAsia" w:ascii="黑体" w:hAnsi="黑体" w:eastAsia="黑体" w:cs="黑体"/>
                <w:color w:val="000000"/>
                <w:szCs w:val="21"/>
              </w:rPr>
              <w:t>序号</w:t>
            </w:r>
          </w:p>
        </w:tc>
        <w:tc>
          <w:tcPr>
            <w:tcW w:w="1724" w:type="dxa"/>
            <w:tcBorders>
              <w:left w:val="single" w:color="auto" w:sz="4" w:space="0"/>
              <w:right w:val="single" w:color="auto" w:sz="4" w:space="0"/>
            </w:tcBorders>
            <w:shd w:val="clear" w:color="auto" w:fill="auto"/>
            <w:noWrap w:val="0"/>
            <w:vAlign w:val="center"/>
          </w:tcPr>
          <w:p>
            <w:pPr>
              <w:snapToGrid w:val="0"/>
              <w:spacing w:line="220" w:lineRule="exact"/>
              <w:jc w:val="center"/>
              <w:rPr>
                <w:rFonts w:hint="eastAsia" w:ascii="黑体" w:hAnsi="黑体" w:eastAsia="黑体" w:cs="黑体"/>
                <w:color w:val="000000"/>
                <w:szCs w:val="21"/>
              </w:rPr>
            </w:pPr>
            <w:r>
              <w:rPr>
                <w:rFonts w:hint="eastAsia" w:ascii="黑体" w:hAnsi="黑体" w:eastAsia="黑体" w:cs="黑体"/>
                <w:color w:val="000000"/>
                <w:szCs w:val="21"/>
              </w:rPr>
              <w:t>权力事项</w:t>
            </w:r>
          </w:p>
        </w:tc>
        <w:tc>
          <w:tcPr>
            <w:tcW w:w="854" w:type="dxa"/>
            <w:tcBorders>
              <w:left w:val="single" w:color="auto" w:sz="4" w:space="0"/>
              <w:right w:val="single" w:color="auto" w:sz="4" w:space="0"/>
            </w:tcBorders>
            <w:shd w:val="clear" w:color="auto" w:fill="auto"/>
            <w:noWrap w:val="0"/>
            <w:vAlign w:val="center"/>
          </w:tcPr>
          <w:p>
            <w:pPr>
              <w:snapToGrid w:val="0"/>
              <w:spacing w:line="220" w:lineRule="exact"/>
              <w:jc w:val="center"/>
              <w:rPr>
                <w:rFonts w:hint="eastAsia" w:ascii="黑体" w:hAnsi="黑体" w:eastAsia="黑体" w:cs="黑体"/>
                <w:color w:val="000000"/>
                <w:szCs w:val="21"/>
              </w:rPr>
            </w:pPr>
            <w:r>
              <w:rPr>
                <w:rFonts w:hint="eastAsia" w:ascii="黑体" w:hAnsi="黑体" w:eastAsia="黑体" w:cs="黑体"/>
                <w:color w:val="000000"/>
                <w:szCs w:val="21"/>
              </w:rPr>
              <w:t>廉政</w:t>
            </w:r>
          </w:p>
          <w:p>
            <w:pPr>
              <w:snapToGrid w:val="0"/>
              <w:spacing w:line="220" w:lineRule="exact"/>
              <w:jc w:val="center"/>
              <w:rPr>
                <w:rFonts w:hint="eastAsia" w:ascii="黑体" w:hAnsi="黑体" w:eastAsia="黑体" w:cs="黑体"/>
                <w:color w:val="000000"/>
                <w:szCs w:val="21"/>
              </w:rPr>
            </w:pPr>
            <w:r>
              <w:rPr>
                <w:rFonts w:hint="eastAsia" w:ascii="黑体" w:hAnsi="黑体" w:eastAsia="黑体" w:cs="黑体"/>
                <w:color w:val="000000"/>
                <w:szCs w:val="21"/>
              </w:rPr>
              <w:t>风险点数量</w:t>
            </w: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center"/>
              <w:rPr>
                <w:rFonts w:hint="eastAsia" w:ascii="黑体" w:hAnsi="黑体" w:eastAsia="黑体" w:cs="黑体"/>
                <w:color w:val="000000"/>
                <w:szCs w:val="21"/>
              </w:rPr>
            </w:pPr>
            <w:r>
              <w:rPr>
                <w:rFonts w:hint="eastAsia" w:ascii="黑体" w:hAnsi="黑体" w:eastAsia="黑体" w:cs="黑体"/>
                <w:color w:val="000000"/>
                <w:szCs w:val="21"/>
              </w:rPr>
              <w:t>表现形式</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center"/>
              <w:rPr>
                <w:rFonts w:hint="eastAsia" w:ascii="黑体" w:hAnsi="黑体" w:eastAsia="黑体" w:cs="黑体"/>
                <w:color w:val="000000"/>
                <w:szCs w:val="21"/>
              </w:rPr>
            </w:pPr>
            <w:r>
              <w:rPr>
                <w:rFonts w:hint="eastAsia" w:ascii="黑体" w:hAnsi="黑体" w:eastAsia="黑体" w:cs="黑体"/>
                <w:color w:val="000000"/>
                <w:szCs w:val="21"/>
              </w:rPr>
              <w:t>等级</w:t>
            </w:r>
          </w:p>
        </w:tc>
        <w:tc>
          <w:tcPr>
            <w:tcW w:w="41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center"/>
              <w:rPr>
                <w:rFonts w:hint="eastAsia" w:ascii="黑体" w:hAnsi="黑体" w:eastAsia="黑体" w:cs="黑体"/>
                <w:color w:val="000000"/>
                <w:szCs w:val="21"/>
              </w:rPr>
            </w:pPr>
            <w:r>
              <w:rPr>
                <w:rFonts w:hint="eastAsia" w:ascii="黑体" w:hAnsi="黑体" w:eastAsia="黑体" w:cs="黑体"/>
                <w:color w:val="000000"/>
                <w:szCs w:val="21"/>
              </w:rPr>
              <w:t>防控措施</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220" w:lineRule="exact"/>
              <w:jc w:val="center"/>
              <w:rPr>
                <w:rFonts w:hint="eastAsia" w:ascii="黑体" w:hAnsi="黑体" w:eastAsia="黑体" w:cs="黑体"/>
                <w:color w:val="000000"/>
                <w:szCs w:val="21"/>
              </w:rPr>
            </w:pPr>
            <w:r>
              <w:rPr>
                <w:rFonts w:hint="eastAsia" w:ascii="黑体" w:hAnsi="黑体" w:eastAsia="黑体" w:cs="黑体"/>
                <w:color w:val="000000"/>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677" w:type="dxa"/>
            <w:vMerge w:val="restart"/>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w:t>
            </w:r>
          </w:p>
        </w:tc>
        <w:tc>
          <w:tcPr>
            <w:tcW w:w="1724" w:type="dxa"/>
            <w:vMerge w:val="restart"/>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对工业和信息化领域数据安全违法行为的行政处罚</w:t>
            </w:r>
          </w:p>
        </w:tc>
        <w:tc>
          <w:tcPr>
            <w:tcW w:w="854" w:type="dxa"/>
            <w:vMerge w:val="restart"/>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14</w:t>
            </w: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对工业和信息化领域数据处理者开展数据处理活动未依照法律、法规的规定，建立健全全流程数据安全管理制度的行政处罚</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低</w:t>
            </w:r>
          </w:p>
        </w:tc>
        <w:tc>
          <w:tcPr>
            <w:tcW w:w="4129" w:type="dxa"/>
            <w:vMerge w:val="restart"/>
            <w:tcBorders>
              <w:top w:val="single" w:color="auto" w:sz="4" w:space="0"/>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1.加强行政主体和行政人员的权力监督，建立监督检查，纪检跟踪督察制度；</w:t>
            </w:r>
            <w:r>
              <w:rPr>
                <w:rFonts w:hint="eastAsia" w:ascii="仿宋_GB2312" w:hAnsi="仿宋_GB2312" w:eastAsia="仿宋_GB2312" w:cs="仿宋_GB2312"/>
                <w:color w:val="000000"/>
                <w:sz w:val="21"/>
                <w:szCs w:val="21"/>
                <w:lang w:val="en-US" w:eastAsia="zh-CN"/>
              </w:rPr>
              <w:br w:type="textWrapping"/>
            </w:r>
            <w:r>
              <w:rPr>
                <w:rFonts w:hint="eastAsia" w:ascii="仿宋_GB2312" w:hAnsi="仿宋_GB2312" w:eastAsia="仿宋_GB2312" w:cs="仿宋_GB2312"/>
                <w:color w:val="000000"/>
                <w:sz w:val="21"/>
                <w:szCs w:val="21"/>
                <w:lang w:val="en-US" w:eastAsia="zh-CN"/>
              </w:rPr>
              <w:t>2.严格层级审批制度，严格执行《中华人民共和国行政处罚法》《中华人民共和国数据安全法》；</w:t>
            </w:r>
            <w:r>
              <w:rPr>
                <w:rFonts w:hint="eastAsia" w:ascii="仿宋_GB2312" w:hAnsi="仿宋_GB2312" w:eastAsia="仿宋_GB2312" w:cs="仿宋_GB2312"/>
                <w:color w:val="000000"/>
                <w:sz w:val="21"/>
                <w:szCs w:val="21"/>
                <w:lang w:val="en-US" w:eastAsia="zh-CN"/>
              </w:rPr>
              <w:br w:type="textWrapping"/>
            </w:r>
            <w:r>
              <w:rPr>
                <w:rFonts w:hint="eastAsia" w:ascii="仿宋_GB2312" w:hAnsi="仿宋_GB2312" w:eastAsia="仿宋_GB2312" w:cs="仿宋_GB2312"/>
                <w:color w:val="000000"/>
                <w:sz w:val="21"/>
                <w:szCs w:val="21"/>
                <w:lang w:val="en-US" w:eastAsia="zh-CN"/>
              </w:rPr>
              <w:t>3.严格履行服务承诺，政务公开、健全信访投诉举报受理制度，杜绝寻租行为；</w:t>
            </w:r>
            <w:r>
              <w:rPr>
                <w:rFonts w:hint="eastAsia" w:ascii="仿宋_GB2312" w:hAnsi="仿宋_GB2312" w:eastAsia="仿宋_GB2312" w:cs="仿宋_GB2312"/>
                <w:color w:val="000000"/>
                <w:sz w:val="21"/>
                <w:szCs w:val="21"/>
                <w:lang w:val="en-US" w:eastAsia="zh-CN"/>
              </w:rPr>
              <w:br w:type="textWrapping"/>
            </w:r>
            <w:r>
              <w:rPr>
                <w:rFonts w:hint="eastAsia" w:ascii="仿宋_GB2312" w:hAnsi="仿宋_GB2312" w:eastAsia="仿宋_GB2312" w:cs="仿宋_GB2312"/>
                <w:color w:val="000000"/>
                <w:sz w:val="21"/>
                <w:szCs w:val="21"/>
                <w:lang w:val="en-US" w:eastAsia="zh-CN"/>
              </w:rPr>
              <w:t>4.建立信息台帐，定期进行检查；</w:t>
            </w:r>
            <w:r>
              <w:rPr>
                <w:rFonts w:hint="eastAsia" w:ascii="仿宋_GB2312" w:hAnsi="仿宋_GB2312" w:eastAsia="仿宋_GB2312" w:cs="仿宋_GB2312"/>
                <w:color w:val="000000"/>
                <w:sz w:val="21"/>
                <w:szCs w:val="21"/>
                <w:lang w:val="en-US" w:eastAsia="zh-CN"/>
              </w:rPr>
              <w:br w:type="textWrapping"/>
            </w:r>
            <w:r>
              <w:rPr>
                <w:rFonts w:hint="eastAsia" w:ascii="仿宋_GB2312" w:hAnsi="仿宋_GB2312" w:eastAsia="仿宋_GB2312" w:cs="仿宋_GB2312"/>
                <w:color w:val="000000"/>
                <w:sz w:val="21"/>
                <w:szCs w:val="21"/>
                <w:lang w:val="en-US" w:eastAsia="zh-CN"/>
              </w:rPr>
              <w:t>5.严格按照法规程序追究责任。</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677"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rPr>
            </w:pPr>
          </w:p>
        </w:tc>
        <w:tc>
          <w:tcPr>
            <w:tcW w:w="1724"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rPr>
            </w:pPr>
          </w:p>
        </w:tc>
        <w:tc>
          <w:tcPr>
            <w:tcW w:w="854"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对工业和信息化领域数据处理者开展数据处理活动未依照法律、法规的规定，组织开展数据安全教育培训的行政处罚</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低</w:t>
            </w:r>
          </w:p>
        </w:tc>
        <w:tc>
          <w:tcPr>
            <w:tcW w:w="4129"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677"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对工业和信息化领域数据处理者开展数据处理活动未依照法律、法规的规定，采取相应的技术措施和其他必要措施，保障数据安全的行政处罚</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低</w:t>
            </w:r>
          </w:p>
        </w:tc>
        <w:tc>
          <w:tcPr>
            <w:tcW w:w="4129"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677"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对工业和信息化领域数据处理者利用互联网等信息网络开展数据处理活动，未在网络安全等级保护制度的基础上，履行第二十七条数据安全保护义务的行政处罚</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低</w:t>
            </w:r>
          </w:p>
        </w:tc>
        <w:tc>
          <w:tcPr>
            <w:tcW w:w="4129"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677"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对工业和信息化领域重要数据的数据处理者，未明确数据安全负责人和管理机构，落实数据安全保护责任的行政处罚</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低</w:t>
            </w:r>
          </w:p>
        </w:tc>
        <w:tc>
          <w:tcPr>
            <w:tcW w:w="4129"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677"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对工业和信息化领域数据处理者开展数据处理活动，未加强风险监测，发现数据安全缺陷、漏洞等风险时，未立即采取补救措施的行政处罚</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低</w:t>
            </w:r>
          </w:p>
        </w:tc>
        <w:tc>
          <w:tcPr>
            <w:tcW w:w="4129"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677"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对工业和信息化领域数据处理者发生数据安全事件时，未立即采取处置措施的行政处罚</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低</w:t>
            </w:r>
          </w:p>
        </w:tc>
        <w:tc>
          <w:tcPr>
            <w:tcW w:w="4129"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677"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对工业和信息化领域数据处理者发生数据安全事件时，未按照规定及时告知用户并向有关主管部门报告的行政处罚</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低</w:t>
            </w:r>
          </w:p>
        </w:tc>
        <w:tc>
          <w:tcPr>
            <w:tcW w:w="4129"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677"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对工业和信息化领域重要数据的处理者未按照规定对其数据处理活动定期开展风险评估，并向有关主管部门报送风险评估报告的行政处罚</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低</w:t>
            </w:r>
          </w:p>
        </w:tc>
        <w:tc>
          <w:tcPr>
            <w:tcW w:w="4129"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677"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对工业和信息化领域重要数据的处理者报送的风险评估报告未包括处理的重要数据的种类、数量，开展数据处理活动的情况，面临的数据安全风险及其应对措施等的行政处罚</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低</w:t>
            </w:r>
          </w:p>
        </w:tc>
        <w:tc>
          <w:tcPr>
            <w:tcW w:w="4129"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677"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对工业和信息化领域关键信息基础设施的运营者在中华人民共和国境内运营中收集和产生的重要数据的出境安全管理，未落实《中华人民共和国网络安全法》的有关规定的行政处罚</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低</w:t>
            </w:r>
          </w:p>
        </w:tc>
        <w:tc>
          <w:tcPr>
            <w:tcW w:w="4129"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677"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对工业和信息化领域非关键信息基础设施运营者的数据处理者在中华人民共和国境内运营中收集和产生的重要数据的出境安全管理，未落实《数据出境安全评估办法》等有关规定的行政处罚</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低</w:t>
            </w:r>
          </w:p>
        </w:tc>
        <w:tc>
          <w:tcPr>
            <w:tcW w:w="4129"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77"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rPr>
            </w:pPr>
          </w:p>
        </w:tc>
        <w:tc>
          <w:tcPr>
            <w:tcW w:w="1724"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rPr>
            </w:pPr>
          </w:p>
        </w:tc>
        <w:tc>
          <w:tcPr>
            <w:tcW w:w="854"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对从事工业和信息化领域数据交易中介服务的机构，未要求数据提供方说明数据来源，审核交易双方的身份，并留存审核、交易记录的行政处罚</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低</w:t>
            </w:r>
          </w:p>
        </w:tc>
        <w:tc>
          <w:tcPr>
            <w:tcW w:w="4129"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77"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rPr>
            </w:pPr>
          </w:p>
        </w:tc>
        <w:tc>
          <w:tcPr>
            <w:tcW w:w="1724"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rPr>
            </w:pPr>
          </w:p>
        </w:tc>
        <w:tc>
          <w:tcPr>
            <w:tcW w:w="854"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对境内的工业和信息化领域数据处理者未经工业领域主管机关批准向外国司法或者执法机构提供存储于境内的数据的行政处罚</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低</w:t>
            </w:r>
          </w:p>
        </w:tc>
        <w:tc>
          <w:tcPr>
            <w:tcW w:w="4129"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677" w:type="dxa"/>
            <w:vMerge w:val="restart"/>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w:t>
            </w:r>
          </w:p>
        </w:tc>
        <w:tc>
          <w:tcPr>
            <w:tcW w:w="1724" w:type="dxa"/>
            <w:vMerge w:val="restart"/>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对非煤矿山企业超出设计文件确定的生产能力、生产强度和生产定员组织生产的处罚</w:t>
            </w:r>
          </w:p>
        </w:tc>
        <w:tc>
          <w:tcPr>
            <w:tcW w:w="854" w:type="dxa"/>
            <w:vMerge w:val="restart"/>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5</w:t>
            </w: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立案阶段对应予立案的违法行为不立案；对不应立案的予以立案，不说明原因及依据。</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中</w:t>
            </w:r>
          </w:p>
        </w:tc>
        <w:tc>
          <w:tcPr>
            <w:tcW w:w="4129" w:type="dxa"/>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1.加强行政主体和行政人员的权力监督，建立监督检查，纪检跟踪督察制度；</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677"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调查取证阶段违规办理，徇私谋利，可能产生应予处罚而未处罚或不应处罚而处罚的后果。</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高</w:t>
            </w:r>
          </w:p>
        </w:tc>
        <w:tc>
          <w:tcPr>
            <w:tcW w:w="4129" w:type="dxa"/>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2.严格层级审批制度，严格执行《中华人民共和国行政处罚法》《安徽省非煤矿山管理条例》；</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677"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审查决定阶段徇私谋利，审查超时；违背民主集中制原则，违法违规决定； 超时决定。</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高</w:t>
            </w:r>
          </w:p>
        </w:tc>
        <w:tc>
          <w:tcPr>
            <w:tcW w:w="4129" w:type="dxa"/>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3.严格履行服务承诺，政务公开、健全信访投诉举报受理制度，杜绝寻租行为；</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677"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送达执行阶段制作文书不规范；不及时送达。</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低</w:t>
            </w:r>
          </w:p>
        </w:tc>
        <w:tc>
          <w:tcPr>
            <w:tcW w:w="4129" w:type="dxa"/>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4.建立信息台帐，定期进行检查；</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677"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案卷归档阶段擅自改动内容，不及时归档。</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低</w:t>
            </w:r>
          </w:p>
        </w:tc>
        <w:tc>
          <w:tcPr>
            <w:tcW w:w="4129" w:type="dxa"/>
            <w:tcBorders>
              <w:left w:val="single" w:color="auto" w:sz="4" w:space="0"/>
              <w:right w:val="single" w:color="auto" w:sz="4" w:space="0"/>
            </w:tcBorders>
            <w:shd w:val="clear" w:color="auto"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5.严格按照法规程序追究责任。</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677" w:type="dxa"/>
            <w:vMerge w:val="restart"/>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w:t>
            </w:r>
          </w:p>
        </w:tc>
        <w:tc>
          <w:tcPr>
            <w:tcW w:w="1724" w:type="dxa"/>
            <w:vMerge w:val="restart"/>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对擅自开采保安矿柱、岩柱等四类行为的处罚</w:t>
            </w:r>
          </w:p>
        </w:tc>
        <w:tc>
          <w:tcPr>
            <w:tcW w:w="854" w:type="dxa"/>
            <w:vMerge w:val="restart"/>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5</w:t>
            </w: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立案阶段对应予立案的违法行为不立案；对不应立案的予以立案，不说明原因及依据。</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中</w:t>
            </w:r>
          </w:p>
        </w:tc>
        <w:tc>
          <w:tcPr>
            <w:tcW w:w="4129" w:type="dxa"/>
            <w:tcBorders>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1.加强行政主体和行政人员的权力监督，建立监督检查，纪检跟踪督察制度；</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677"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调查取证阶段违规办理，徇私谋利，可能产生应予处罚而未处罚或不应处罚而处罚的后果。</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高</w:t>
            </w:r>
          </w:p>
        </w:tc>
        <w:tc>
          <w:tcPr>
            <w:tcW w:w="4129" w:type="dxa"/>
            <w:tcBorders>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2.严格层级审批制度，严格执行《中华人民共和国行政处罚法》《安徽省非煤矿山管理条例》；</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677"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审查决定阶段徇私谋利，审查超时；违背民主集中制原则，违法违规决定； 超时决定。</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高</w:t>
            </w:r>
          </w:p>
        </w:tc>
        <w:tc>
          <w:tcPr>
            <w:tcW w:w="4129" w:type="dxa"/>
            <w:tcBorders>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3.严格履行服务承诺，政务公开、健全信访投诉举报受理制度，杜绝寻租行为；</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677"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送达执行阶段制作文书不规范；不及时送达。</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低</w:t>
            </w:r>
          </w:p>
        </w:tc>
        <w:tc>
          <w:tcPr>
            <w:tcW w:w="4129" w:type="dxa"/>
            <w:tcBorders>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4.建立信息台帐，定期进行检查；</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677"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案卷归档阶段擅自改动内容，不及时归档。</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低</w:t>
            </w:r>
          </w:p>
        </w:tc>
        <w:tc>
          <w:tcPr>
            <w:tcW w:w="4129" w:type="dxa"/>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5.严格按照法规程序追究责任。</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677" w:type="dxa"/>
            <w:vMerge w:val="restart"/>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w:t>
            </w:r>
          </w:p>
        </w:tc>
        <w:tc>
          <w:tcPr>
            <w:tcW w:w="1724" w:type="dxa"/>
            <w:vMerge w:val="restart"/>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对非煤矿山企业未采取收尘、防尘措施的处罚</w:t>
            </w:r>
          </w:p>
        </w:tc>
        <w:tc>
          <w:tcPr>
            <w:tcW w:w="854" w:type="dxa"/>
            <w:vMerge w:val="restart"/>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5</w:t>
            </w: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立案阶段对应予立案的违法行为不立案；对不应立案的予以立案，不说明原因及依据。</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中</w:t>
            </w:r>
          </w:p>
        </w:tc>
        <w:tc>
          <w:tcPr>
            <w:tcW w:w="4129" w:type="dxa"/>
            <w:tcBorders>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1.加强行政主体和行政人员的权力监督，建立监督检查，纪检跟踪督察制度；</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677"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调查取证阶段违规办理，徇私谋利，可能产生应予处罚而未处罚或不应处罚而处罚的后果。</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高</w:t>
            </w:r>
          </w:p>
        </w:tc>
        <w:tc>
          <w:tcPr>
            <w:tcW w:w="4129" w:type="dxa"/>
            <w:tcBorders>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2.严格层级审批制度，严格执行《中华人民共和国行政处罚法》《安徽省非煤矿山管理条例》；</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677"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审查决定阶段徇私谋利，审查超时；违背民主集中制原则，违法违规决定； 超时决定。</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高</w:t>
            </w:r>
          </w:p>
        </w:tc>
        <w:tc>
          <w:tcPr>
            <w:tcW w:w="4129" w:type="dxa"/>
            <w:tcBorders>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3.严格履行服务承诺，政务公开、健全信访投诉举报受理制度，杜绝寻租行为；</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677"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送达执行阶段制作文书不规范；不及时送达。</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低</w:t>
            </w:r>
          </w:p>
        </w:tc>
        <w:tc>
          <w:tcPr>
            <w:tcW w:w="4129" w:type="dxa"/>
            <w:tcBorders>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4.建立信息台帐，定期进行检查；</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677"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案卷归档阶段擅自改动内容，不及时归档。</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低</w:t>
            </w:r>
          </w:p>
        </w:tc>
        <w:tc>
          <w:tcPr>
            <w:tcW w:w="4129" w:type="dxa"/>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5.严格按照法规程序追究责任。</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677" w:type="dxa"/>
            <w:vMerge w:val="restart"/>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5</w:t>
            </w:r>
          </w:p>
        </w:tc>
        <w:tc>
          <w:tcPr>
            <w:tcW w:w="1724" w:type="dxa"/>
            <w:vMerge w:val="restart"/>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对建设、设计单位违反规定使用实心粘土砖或者空心粘土砖的处罚</w:t>
            </w:r>
          </w:p>
        </w:tc>
        <w:tc>
          <w:tcPr>
            <w:tcW w:w="854" w:type="dxa"/>
            <w:vMerge w:val="restart"/>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5</w:t>
            </w: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立案阶段对应予立案的违法行为不立案；对不应立案的予以立案，不说明原因及依据。</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中</w:t>
            </w:r>
          </w:p>
        </w:tc>
        <w:tc>
          <w:tcPr>
            <w:tcW w:w="4129" w:type="dxa"/>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1.加强行政主体和行政人员的权力监督，建立监督检查，纪检跟踪督察制度；</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677"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调查取证阶段违规办理，徇私谋利，可能产生应予处罚而未处罚或不应处罚而处罚的后果。</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高</w:t>
            </w:r>
          </w:p>
        </w:tc>
        <w:tc>
          <w:tcPr>
            <w:tcW w:w="4129" w:type="dxa"/>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2、严格层级审批制度，严格执行《中华人民共和国行政处罚法》《安徽省发展新型墙体材料条例》</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677"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审查决定阶段徇私谋利，审查超时；违背民主集中制原则，违法违规决定；超时决定。</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高</w:t>
            </w:r>
          </w:p>
        </w:tc>
        <w:tc>
          <w:tcPr>
            <w:tcW w:w="4129" w:type="dxa"/>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3.严格履行服务承诺，政务公开、健全信访投诉举报受理制度，杜绝寻租行为；</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677"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送达执行阶段制作文书不规范；不及时送达。</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低</w:t>
            </w:r>
          </w:p>
        </w:tc>
        <w:tc>
          <w:tcPr>
            <w:tcW w:w="4129" w:type="dxa"/>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4.建立信息台帐，定期进行检查；</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677"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案卷归档阶段擅自改动内容，不及时归档。</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低</w:t>
            </w:r>
          </w:p>
        </w:tc>
        <w:tc>
          <w:tcPr>
            <w:tcW w:w="4129" w:type="dxa"/>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5.严格按照法规程序追究责任。</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22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677" w:type="dxa"/>
            <w:vMerge w:val="restart"/>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6</w:t>
            </w:r>
          </w:p>
        </w:tc>
        <w:tc>
          <w:tcPr>
            <w:tcW w:w="1724" w:type="dxa"/>
            <w:vMerge w:val="restart"/>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对违规使用袋装水泥的处罚</w:t>
            </w:r>
          </w:p>
        </w:tc>
        <w:tc>
          <w:tcPr>
            <w:tcW w:w="854" w:type="dxa"/>
            <w:vMerge w:val="restart"/>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5</w:t>
            </w: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立案阶段对应予立案的违法行为不立案；对不应立案的予以立案，不说明原因及依据。</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中</w:t>
            </w:r>
          </w:p>
        </w:tc>
        <w:tc>
          <w:tcPr>
            <w:tcW w:w="4129" w:type="dxa"/>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1.加强行政主体和行政人员的权力监督，建立监督检查，纪检跟踪督察制度；</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677"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调查取证阶段违规办理，徇私谋利，可能产生应予处罚而未处罚或不应处罚而处罚的后果。</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高</w:t>
            </w:r>
          </w:p>
        </w:tc>
        <w:tc>
          <w:tcPr>
            <w:tcW w:w="4129" w:type="dxa"/>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2.严格层级审批制度，严格执行《中华人民共和国行政处罚法》《安徽省促进散装水泥发展和应用条例》；</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677"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审查决定阶段徇私谋利，审查超时；违背民主集中制原则，违法违规决定； 超时决定。</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高</w:t>
            </w:r>
          </w:p>
        </w:tc>
        <w:tc>
          <w:tcPr>
            <w:tcW w:w="4129" w:type="dxa"/>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3.严格履行服务承诺，政务公开、健全信访投诉举报受理制度，杜绝寻租行为；</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677"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送达执行阶段制作文书不规范；不及时送达。</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低</w:t>
            </w:r>
          </w:p>
        </w:tc>
        <w:tc>
          <w:tcPr>
            <w:tcW w:w="4129" w:type="dxa"/>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4.建立信息台帐，定期进行检查；</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677"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案卷归档阶段擅自改动内容，不及时归档。</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低</w:t>
            </w:r>
          </w:p>
        </w:tc>
        <w:tc>
          <w:tcPr>
            <w:tcW w:w="4129" w:type="dxa"/>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5.严格按照法规程序追究责任。</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677" w:type="dxa"/>
            <w:vMerge w:val="restart"/>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7</w:t>
            </w:r>
          </w:p>
        </w:tc>
        <w:tc>
          <w:tcPr>
            <w:tcW w:w="1724" w:type="dxa"/>
            <w:vMerge w:val="restart"/>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省级新产品认定</w:t>
            </w:r>
          </w:p>
        </w:tc>
        <w:tc>
          <w:tcPr>
            <w:tcW w:w="854" w:type="dxa"/>
            <w:vMerge w:val="restart"/>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w:t>
            </w: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受理环节对符合条件的不予受理,不说明原因及依据；收受财物或娱乐消费等，对不符合条件的予以受理；不能一次性告知和说明所需材料。</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中</w:t>
            </w:r>
          </w:p>
        </w:tc>
        <w:tc>
          <w:tcPr>
            <w:tcW w:w="4129" w:type="dxa"/>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1.严格执行国家法律法规及单位各项规章制度和操作程序办事；</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677"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承办环节刁难申请人，违规办理，徇私谋利，可能产生应予批准而未通过或不符合条件批准通过的后果。 </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高 </w:t>
            </w:r>
          </w:p>
        </w:tc>
        <w:tc>
          <w:tcPr>
            <w:tcW w:w="4129" w:type="dxa"/>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2.加强责任制度落实情况的监督检查，自觉接受企业监督；</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677"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决定环节违背民主集中制原则，违法违规决定；超时决定。 </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高</w:t>
            </w:r>
          </w:p>
        </w:tc>
        <w:tc>
          <w:tcPr>
            <w:tcW w:w="4129" w:type="dxa"/>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3.在岗位职责方面，恪尽职守，实行责任追究制度；</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677"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办结环节擅自改动内容，制作文书不规范，不及时办结。 </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低 </w:t>
            </w:r>
          </w:p>
        </w:tc>
        <w:tc>
          <w:tcPr>
            <w:tcW w:w="4129" w:type="dxa"/>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4.在工作流程方面，严格按程序办理，坚决杜绝工作流程漏洞。</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677" w:type="dxa"/>
            <w:vMerge w:val="restart"/>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8</w:t>
            </w:r>
          </w:p>
        </w:tc>
        <w:tc>
          <w:tcPr>
            <w:tcW w:w="1724" w:type="dxa"/>
            <w:vMerge w:val="restart"/>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新型墙体材料产品确认</w:t>
            </w:r>
          </w:p>
        </w:tc>
        <w:tc>
          <w:tcPr>
            <w:tcW w:w="854" w:type="dxa"/>
            <w:vMerge w:val="restart"/>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w:t>
            </w: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受理环节对符合条件的不予受理,不说明原因及依据；收受财物或娱乐消费等，对不符合条件的予以受理；不能一次性告知和说明所需材料。</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中</w:t>
            </w:r>
          </w:p>
        </w:tc>
        <w:tc>
          <w:tcPr>
            <w:tcW w:w="4129" w:type="dxa"/>
            <w:tcBorders>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1.严格执行国家法律法规及单位各项规章制度和操作程序办事；</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677"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承办环节刁难申请人，违规办理，徇私谋利，可能产生应予批准而未通过或不符合条件批准通过的后果。 </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高 </w:t>
            </w:r>
          </w:p>
        </w:tc>
        <w:tc>
          <w:tcPr>
            <w:tcW w:w="4129" w:type="dxa"/>
            <w:tcBorders>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2.加强责任制度落实情况的监督检查，自觉接受企业监督；</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677"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决定环节违背民主集中制原则，违法违规决定；超时决定。 </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高</w:t>
            </w:r>
          </w:p>
        </w:tc>
        <w:tc>
          <w:tcPr>
            <w:tcW w:w="4129" w:type="dxa"/>
            <w:tcBorders>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3.在岗位职责方面，恪尽职守，实行责任追究制度；</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677"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办结环节擅自改动内容，制作文书不规范，不及时办结。 </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低 </w:t>
            </w:r>
          </w:p>
        </w:tc>
        <w:tc>
          <w:tcPr>
            <w:tcW w:w="4129" w:type="dxa"/>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4.在工作流程方面，严格按程序办理，坚决杜绝工作流程漏洞。</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677" w:type="dxa"/>
            <w:vMerge w:val="restart"/>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9</w:t>
            </w:r>
          </w:p>
        </w:tc>
        <w:tc>
          <w:tcPr>
            <w:tcW w:w="1724" w:type="dxa"/>
            <w:vMerge w:val="restart"/>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工业领域专项发展规划 </w:t>
            </w:r>
          </w:p>
        </w:tc>
        <w:tc>
          <w:tcPr>
            <w:tcW w:w="854" w:type="dxa"/>
            <w:vMerge w:val="restart"/>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5</w:t>
            </w: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调研环节需求分析偏向利益相关方，工作人员在调研中获利影响公正。 </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中 </w:t>
            </w:r>
          </w:p>
        </w:tc>
        <w:tc>
          <w:tcPr>
            <w:tcW w:w="4129" w:type="dxa"/>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1.加强政策法规学习；</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677"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审查环节违规审查，徇私谋利，不组织专家评审或听证，审查超时。 </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低 </w:t>
            </w:r>
          </w:p>
        </w:tc>
        <w:tc>
          <w:tcPr>
            <w:tcW w:w="4129" w:type="dxa"/>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2.严格执行规划编制程序与原则；</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677"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决定环节违背民主集中制原则，违法违规决定； 超时决定。 </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中 </w:t>
            </w:r>
          </w:p>
        </w:tc>
        <w:tc>
          <w:tcPr>
            <w:tcW w:w="4129" w:type="dxa"/>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3.加强廉政教育和法律法规的学习；</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677"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办结环节擅自改动内容，制作文书不规范，不及时办结。 </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中 </w:t>
            </w:r>
          </w:p>
        </w:tc>
        <w:tc>
          <w:tcPr>
            <w:tcW w:w="4129" w:type="dxa"/>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4.建立规范有效的交流沟通机制；</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677"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规划单位干预规划布局与重点 </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中 </w:t>
            </w:r>
          </w:p>
        </w:tc>
        <w:tc>
          <w:tcPr>
            <w:tcW w:w="4129" w:type="dxa"/>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5.制定惩处措施。 </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677" w:type="dxa"/>
            <w:vMerge w:val="restart"/>
            <w:tcBorders>
              <w:left w:val="single" w:color="auto" w:sz="4" w:space="0"/>
              <w:right w:val="single" w:color="auto" w:sz="4" w:space="0"/>
            </w:tcBorders>
            <w:shd w:val="clear" w:color="auto" w:fill="auto"/>
            <w:noWrap w:val="0"/>
            <w:vAlign w:val="center"/>
          </w:tcPr>
          <w:p>
            <w:pPr>
              <w:jc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10</w:t>
            </w:r>
          </w:p>
        </w:tc>
        <w:tc>
          <w:tcPr>
            <w:tcW w:w="1724" w:type="dxa"/>
            <w:vMerge w:val="restart"/>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企业技术改造项目备案</w:t>
            </w:r>
          </w:p>
        </w:tc>
        <w:tc>
          <w:tcPr>
            <w:tcW w:w="854" w:type="dxa"/>
            <w:vMerge w:val="restart"/>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5</w:t>
            </w: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受理环节对符合条件的不予受理，不说明原因及依据；收受财物或娱乐消费等，对不符合条件的予以受理；不能一次性告知和说明所需材料。 </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中</w:t>
            </w:r>
          </w:p>
        </w:tc>
        <w:tc>
          <w:tcPr>
            <w:tcW w:w="4129" w:type="dxa"/>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1.严格执行国家法律法规及单位各项规章制度和操作程序办事；</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677"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承办环节刁难申请人，违规办理，徇私谋利，可能产生应予批准而未通过或不符合条件批准通过的后果。 </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高 </w:t>
            </w:r>
          </w:p>
        </w:tc>
        <w:tc>
          <w:tcPr>
            <w:tcW w:w="4129" w:type="dxa"/>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2.加强责任制度落实情况的监督检查，自觉接受企业监督；</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677"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决定环节违背民主集中制原则，违法违规决定；超时决定。 </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高</w:t>
            </w:r>
          </w:p>
        </w:tc>
        <w:tc>
          <w:tcPr>
            <w:tcW w:w="4129" w:type="dxa"/>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3.在岗位职责方面，恪尽职守，实行责任追究制度；</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677"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办结环节擅自改动内容，制作文书不规范，不及时办结。 </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低</w:t>
            </w:r>
          </w:p>
        </w:tc>
        <w:tc>
          <w:tcPr>
            <w:tcW w:w="4129" w:type="dxa"/>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4.在工作流程方面，严格按程序办理，坚决杜绝工作流程漏洞。</w:t>
            </w: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677" w:type="dxa"/>
            <w:vMerge w:val="continue"/>
            <w:tcBorders>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1724" w:type="dxa"/>
            <w:vMerge w:val="continue"/>
            <w:tcBorders>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854" w:type="dxa"/>
            <w:vMerge w:val="continue"/>
            <w:tcBorders>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45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送达环节不及时送达文件</w:t>
            </w:r>
          </w:p>
        </w:tc>
        <w:tc>
          <w:tcPr>
            <w:tcW w:w="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低 </w:t>
            </w:r>
          </w:p>
        </w:tc>
        <w:tc>
          <w:tcPr>
            <w:tcW w:w="4129" w:type="dxa"/>
            <w:tcBorders>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21"/>
                <w:szCs w:val="21"/>
                <w:lang w:val="en-US" w:eastAsia="zh-CN"/>
              </w:rPr>
            </w:pPr>
          </w:p>
        </w:tc>
        <w:tc>
          <w:tcPr>
            <w:tcW w:w="13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区经信局分管领导</w:t>
            </w:r>
          </w:p>
        </w:tc>
      </w:tr>
    </w:tbl>
    <w:p>
      <w:pPr>
        <w:jc w:val="center"/>
        <w:rPr>
          <w:rFonts w:hint="eastAsia" w:ascii="仿宋_GB2312" w:hAnsi="仿宋_GB2312" w:eastAsia="仿宋_GB2312" w:cs="仿宋_GB2312"/>
          <w:color w:val="000000"/>
          <w:sz w:val="21"/>
          <w:szCs w:val="21"/>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yMGIyNDhlOTFjMTEzMTVlYzI3N2VkOTdkNDAxNDcifQ=="/>
  </w:docVars>
  <w:rsids>
    <w:rsidRoot w:val="11A66B87"/>
    <w:rsid w:val="11A66B87"/>
    <w:rsid w:val="548D1B9C"/>
    <w:rsid w:val="6A454D3A"/>
    <w:rsid w:val="769C4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2024-03-22T06:51:00Z</dcterms:created>
  <dc:creator>USER</dc:creator>
  <cp:lastModifiedBy>Another Me＇＇✿</cp:lastModifiedBy>
  <dcterms:modified xsi:type="dcterms:W3CDTF">2024-03-22T08:19:30Z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CD64063053744EE0B123A0C80075F889_13</vt:lpwstr>
  </property>
</Properties>
</file>