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34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65"/>
        <w:gridCol w:w="1281"/>
        <w:gridCol w:w="3688"/>
        <w:gridCol w:w="1282"/>
        <w:gridCol w:w="1024"/>
        <w:gridCol w:w="3427"/>
        <w:gridCol w:w="1044"/>
        <w:gridCol w:w="12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trPr>
        <w:tc>
          <w:tcPr>
            <w:tcW w:w="466"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jc w:val="center"/>
              <w:textAlignment w:val="center"/>
              <w:rPr>
                <w:rFonts w:ascii="黑体" w:hAnsi="宋体" w:eastAsia="黑体" w:cs="黑体"/>
                <w:i w:val="0"/>
                <w:iCs w:val="0"/>
                <w:caps w:val="0"/>
                <w:color w:val="000000"/>
                <w:spacing w:val="0"/>
                <w:sz w:val="22"/>
                <w:szCs w:val="22"/>
                <w:u w:val="none"/>
              </w:rPr>
            </w:pPr>
            <w:r>
              <w:rPr>
                <w:rFonts w:hint="eastAsia" w:ascii="黑体" w:hAnsi="宋体" w:eastAsia="黑体" w:cs="黑体"/>
                <w:i w:val="0"/>
                <w:iCs w:val="0"/>
                <w:caps w:val="0"/>
                <w:color w:val="000000"/>
                <w:spacing w:val="0"/>
                <w:kern w:val="0"/>
                <w:sz w:val="22"/>
                <w:szCs w:val="22"/>
                <w:u w:val="none"/>
                <w:lang w:val="en-US" w:eastAsia="zh-CN" w:bidi="ar"/>
              </w:rPr>
              <w:t>序号</w:t>
            </w:r>
          </w:p>
        </w:tc>
        <w:tc>
          <w:tcPr>
            <w:tcW w:w="1282"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jc w:val="center"/>
              <w:textAlignment w:val="center"/>
              <w:rPr>
                <w:rFonts w:hint="eastAsia" w:ascii="黑体" w:hAnsi="宋体" w:eastAsia="黑体" w:cs="黑体"/>
                <w:i w:val="0"/>
                <w:iCs w:val="0"/>
                <w:caps w:val="0"/>
                <w:color w:val="000000"/>
                <w:spacing w:val="0"/>
                <w:sz w:val="22"/>
                <w:szCs w:val="22"/>
                <w:u w:val="none"/>
              </w:rPr>
            </w:pPr>
            <w:r>
              <w:rPr>
                <w:rFonts w:hint="eastAsia" w:ascii="黑体" w:hAnsi="宋体" w:eastAsia="黑体" w:cs="黑体"/>
                <w:i w:val="0"/>
                <w:iCs w:val="0"/>
                <w:caps w:val="0"/>
                <w:color w:val="000000"/>
                <w:spacing w:val="0"/>
                <w:kern w:val="0"/>
                <w:sz w:val="22"/>
                <w:szCs w:val="22"/>
                <w:u w:val="none"/>
                <w:lang w:val="en-US" w:eastAsia="zh-CN" w:bidi="ar"/>
              </w:rPr>
              <w:t>事项</w:t>
            </w:r>
            <w:r>
              <w:rPr>
                <w:rFonts w:hint="eastAsia" w:ascii="黑体" w:hAnsi="宋体" w:eastAsia="黑体" w:cs="黑体"/>
                <w:i w:val="0"/>
                <w:iCs w:val="0"/>
                <w:caps w:val="0"/>
                <w:color w:val="000000"/>
                <w:spacing w:val="0"/>
                <w:kern w:val="0"/>
                <w:sz w:val="22"/>
                <w:szCs w:val="22"/>
                <w:u w:val="none"/>
                <w:lang w:val="en-US" w:eastAsia="zh-CN" w:bidi="ar"/>
              </w:rPr>
              <w:br w:type="textWrapping"/>
            </w:r>
            <w:r>
              <w:rPr>
                <w:rFonts w:hint="eastAsia" w:ascii="黑体" w:hAnsi="宋体" w:eastAsia="黑体" w:cs="黑体"/>
                <w:i w:val="0"/>
                <w:iCs w:val="0"/>
                <w:caps w:val="0"/>
                <w:color w:val="000000"/>
                <w:spacing w:val="0"/>
                <w:kern w:val="0"/>
                <w:sz w:val="22"/>
                <w:szCs w:val="22"/>
                <w:u w:val="none"/>
                <w:lang w:val="en-US" w:eastAsia="zh-CN" w:bidi="ar"/>
              </w:rPr>
              <w:t>名称</w:t>
            </w:r>
          </w:p>
        </w:tc>
        <w:tc>
          <w:tcPr>
            <w:tcW w:w="3690"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jc w:val="center"/>
              <w:textAlignment w:val="center"/>
              <w:rPr>
                <w:rFonts w:hint="eastAsia" w:ascii="黑体" w:hAnsi="宋体" w:eastAsia="黑体" w:cs="黑体"/>
                <w:i w:val="0"/>
                <w:iCs w:val="0"/>
                <w:caps w:val="0"/>
                <w:color w:val="000000"/>
                <w:spacing w:val="0"/>
                <w:sz w:val="22"/>
                <w:szCs w:val="22"/>
                <w:u w:val="none"/>
              </w:rPr>
            </w:pPr>
            <w:r>
              <w:rPr>
                <w:rFonts w:hint="eastAsia" w:ascii="黑体" w:hAnsi="宋体" w:eastAsia="黑体" w:cs="黑体"/>
                <w:i w:val="0"/>
                <w:iCs w:val="0"/>
                <w:caps w:val="0"/>
                <w:color w:val="000000"/>
                <w:spacing w:val="0"/>
                <w:kern w:val="0"/>
                <w:sz w:val="22"/>
                <w:szCs w:val="22"/>
                <w:u w:val="none"/>
                <w:lang w:val="en-US" w:eastAsia="zh-CN" w:bidi="ar"/>
              </w:rPr>
              <w:t>设定依据</w:t>
            </w:r>
          </w:p>
        </w:tc>
        <w:tc>
          <w:tcPr>
            <w:tcW w:w="1282"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jc w:val="center"/>
              <w:textAlignment w:val="center"/>
              <w:rPr>
                <w:rFonts w:hint="eastAsia" w:ascii="黑体" w:hAnsi="宋体" w:eastAsia="黑体" w:cs="黑体"/>
                <w:i w:val="0"/>
                <w:iCs w:val="0"/>
                <w:caps w:val="0"/>
                <w:color w:val="000000"/>
                <w:spacing w:val="0"/>
                <w:sz w:val="22"/>
                <w:szCs w:val="22"/>
                <w:u w:val="none"/>
              </w:rPr>
            </w:pPr>
            <w:r>
              <w:rPr>
                <w:rFonts w:hint="eastAsia" w:ascii="黑体" w:hAnsi="宋体" w:eastAsia="黑体" w:cs="黑体"/>
                <w:i w:val="0"/>
                <w:iCs w:val="0"/>
                <w:caps w:val="0"/>
                <w:color w:val="000000"/>
                <w:spacing w:val="0"/>
                <w:kern w:val="0"/>
                <w:sz w:val="22"/>
                <w:szCs w:val="22"/>
                <w:u w:val="none"/>
                <w:lang w:val="en-US" w:eastAsia="zh-CN" w:bidi="ar"/>
              </w:rPr>
              <w:t>对应权力事项名称</w:t>
            </w:r>
          </w:p>
        </w:tc>
        <w:tc>
          <w:tcPr>
            <w:tcW w:w="4452" w:type="dxa"/>
            <w:gridSpan w:val="2"/>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jc w:val="center"/>
              <w:textAlignment w:val="center"/>
              <w:rPr>
                <w:rFonts w:hint="eastAsia" w:ascii="黑体" w:hAnsi="宋体" w:eastAsia="黑体" w:cs="黑体"/>
                <w:i w:val="0"/>
                <w:iCs w:val="0"/>
                <w:caps w:val="0"/>
                <w:color w:val="000000"/>
                <w:spacing w:val="0"/>
                <w:sz w:val="22"/>
                <w:szCs w:val="22"/>
                <w:u w:val="none"/>
              </w:rPr>
            </w:pPr>
            <w:r>
              <w:rPr>
                <w:rFonts w:hint="eastAsia" w:ascii="黑体" w:hAnsi="宋体" w:eastAsia="黑体" w:cs="黑体"/>
                <w:i w:val="0"/>
                <w:iCs w:val="0"/>
                <w:caps w:val="0"/>
                <w:color w:val="000000"/>
                <w:spacing w:val="0"/>
                <w:kern w:val="0"/>
                <w:sz w:val="22"/>
                <w:szCs w:val="22"/>
                <w:u w:val="none"/>
                <w:lang w:val="en-US" w:eastAsia="zh-CN" w:bidi="ar"/>
              </w:rPr>
              <w:t>中介服务实施机构</w:t>
            </w:r>
          </w:p>
        </w:tc>
        <w:tc>
          <w:tcPr>
            <w:tcW w:w="104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jc w:val="center"/>
              <w:textAlignment w:val="center"/>
              <w:rPr>
                <w:rFonts w:hint="eastAsia" w:ascii="黑体" w:hAnsi="宋体" w:eastAsia="黑体" w:cs="黑体"/>
                <w:i w:val="0"/>
                <w:iCs w:val="0"/>
                <w:caps w:val="0"/>
                <w:color w:val="000000"/>
                <w:spacing w:val="0"/>
                <w:sz w:val="22"/>
                <w:szCs w:val="22"/>
                <w:u w:val="none"/>
              </w:rPr>
            </w:pPr>
            <w:r>
              <w:rPr>
                <w:rFonts w:hint="eastAsia" w:ascii="黑体" w:hAnsi="宋体" w:eastAsia="黑体" w:cs="黑体"/>
                <w:i w:val="0"/>
                <w:iCs w:val="0"/>
                <w:caps w:val="0"/>
                <w:color w:val="000000"/>
                <w:spacing w:val="0"/>
                <w:kern w:val="0"/>
                <w:sz w:val="22"/>
                <w:szCs w:val="22"/>
                <w:u w:val="none"/>
                <w:lang w:val="en-US" w:eastAsia="zh-CN" w:bidi="ar"/>
              </w:rPr>
              <w:t>收费标准</w:t>
            </w:r>
            <w:r>
              <w:rPr>
                <w:rFonts w:hint="eastAsia" w:ascii="黑体" w:hAnsi="宋体" w:eastAsia="黑体" w:cs="黑体"/>
                <w:i w:val="0"/>
                <w:iCs w:val="0"/>
                <w:caps w:val="0"/>
                <w:color w:val="000000"/>
                <w:spacing w:val="0"/>
                <w:kern w:val="0"/>
                <w:sz w:val="22"/>
                <w:szCs w:val="22"/>
                <w:u w:val="none"/>
                <w:lang w:val="en-US" w:eastAsia="zh-CN" w:bidi="ar"/>
              </w:rPr>
              <w:br w:type="textWrapping"/>
            </w:r>
            <w:r>
              <w:rPr>
                <w:rFonts w:hint="eastAsia" w:ascii="黑体" w:hAnsi="宋体" w:eastAsia="黑体" w:cs="黑体"/>
                <w:i w:val="0"/>
                <w:iCs w:val="0"/>
                <w:caps w:val="0"/>
                <w:color w:val="000000"/>
                <w:spacing w:val="0"/>
                <w:kern w:val="0"/>
                <w:sz w:val="22"/>
                <w:szCs w:val="22"/>
                <w:u w:val="none"/>
                <w:lang w:val="en-US" w:eastAsia="zh-CN" w:bidi="ar"/>
              </w:rPr>
              <w:t>及依据</w:t>
            </w:r>
          </w:p>
        </w:tc>
        <w:tc>
          <w:tcPr>
            <w:tcW w:w="121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jc w:val="center"/>
              <w:textAlignment w:val="center"/>
              <w:rPr>
                <w:rFonts w:hint="eastAsia" w:ascii="黑体" w:hAnsi="宋体" w:eastAsia="黑体" w:cs="黑体"/>
                <w:i w:val="0"/>
                <w:iCs w:val="0"/>
                <w:caps w:val="0"/>
                <w:color w:val="000000"/>
                <w:spacing w:val="0"/>
                <w:sz w:val="22"/>
                <w:szCs w:val="22"/>
                <w:u w:val="none"/>
              </w:rPr>
            </w:pPr>
            <w:r>
              <w:rPr>
                <w:rFonts w:hint="eastAsia" w:ascii="黑体" w:hAnsi="宋体" w:eastAsia="黑体" w:cs="黑体"/>
                <w:i w:val="0"/>
                <w:iCs w:val="0"/>
                <w:caps w:val="0"/>
                <w:color w:val="000000"/>
                <w:spacing w:val="0"/>
                <w:kern w:val="0"/>
                <w:sz w:val="22"/>
                <w:szCs w:val="22"/>
                <w:u w:val="none"/>
                <w:lang w:val="en-US" w:eastAsia="zh-CN" w:bidi="ar"/>
              </w:rPr>
              <w:t>委托主体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0" w:hRule="atLeast"/>
        </w:trPr>
        <w:tc>
          <w:tcPr>
            <w:tcW w:w="46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75" w:type="dxa"/>
              <w:right w:w="15" w:type="dxa"/>
            </w:tcMar>
            <w:vAlign w:val="center"/>
          </w:tcPr>
          <w:p>
            <w:pPr>
              <w:jc w:val="center"/>
              <w:rPr>
                <w:rFonts w:hint="eastAsia" w:ascii="黑体" w:hAnsi="宋体" w:eastAsia="黑体" w:cs="黑体"/>
                <w:i w:val="0"/>
                <w:iCs w:val="0"/>
                <w:caps w:val="0"/>
                <w:color w:val="000000"/>
                <w:spacing w:val="0"/>
                <w:sz w:val="22"/>
                <w:szCs w:val="22"/>
                <w:u w:val="none"/>
              </w:rPr>
            </w:pPr>
          </w:p>
        </w:tc>
        <w:tc>
          <w:tcPr>
            <w:tcW w:w="1282"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75" w:type="dxa"/>
              <w:right w:w="15" w:type="dxa"/>
            </w:tcMar>
            <w:vAlign w:val="center"/>
          </w:tcPr>
          <w:p>
            <w:pPr>
              <w:jc w:val="center"/>
              <w:rPr>
                <w:rFonts w:hint="eastAsia" w:ascii="黑体" w:hAnsi="宋体" w:eastAsia="黑体" w:cs="黑体"/>
                <w:i w:val="0"/>
                <w:iCs w:val="0"/>
                <w:caps w:val="0"/>
                <w:color w:val="000000"/>
                <w:spacing w:val="0"/>
                <w:sz w:val="22"/>
                <w:szCs w:val="22"/>
                <w:u w:val="none"/>
              </w:rPr>
            </w:pPr>
          </w:p>
        </w:tc>
        <w:tc>
          <w:tcPr>
            <w:tcW w:w="369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75" w:type="dxa"/>
              <w:right w:w="15" w:type="dxa"/>
            </w:tcMar>
            <w:vAlign w:val="center"/>
          </w:tcPr>
          <w:p>
            <w:pPr>
              <w:jc w:val="center"/>
              <w:rPr>
                <w:rFonts w:hint="eastAsia" w:ascii="黑体" w:hAnsi="宋体" w:eastAsia="黑体" w:cs="黑体"/>
                <w:i w:val="0"/>
                <w:iCs w:val="0"/>
                <w:caps w:val="0"/>
                <w:color w:val="000000"/>
                <w:spacing w:val="0"/>
                <w:sz w:val="22"/>
                <w:szCs w:val="22"/>
                <w:u w:val="none"/>
              </w:rPr>
            </w:pPr>
          </w:p>
        </w:tc>
        <w:tc>
          <w:tcPr>
            <w:tcW w:w="1282"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75" w:type="dxa"/>
              <w:right w:w="15" w:type="dxa"/>
            </w:tcMar>
            <w:vAlign w:val="center"/>
          </w:tcPr>
          <w:p>
            <w:pPr>
              <w:jc w:val="center"/>
              <w:rPr>
                <w:rFonts w:hint="eastAsia" w:ascii="黑体" w:hAnsi="宋体" w:eastAsia="黑体" w:cs="黑体"/>
                <w:i w:val="0"/>
                <w:iCs w:val="0"/>
                <w:caps w:val="0"/>
                <w:color w:val="000000"/>
                <w:spacing w:val="0"/>
                <w:sz w:val="22"/>
                <w:szCs w:val="22"/>
                <w:u w:val="none"/>
              </w:rPr>
            </w:pPr>
          </w:p>
        </w:tc>
        <w:tc>
          <w:tcPr>
            <w:tcW w:w="102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jc w:val="center"/>
              <w:textAlignment w:val="center"/>
              <w:rPr>
                <w:rFonts w:hint="eastAsia" w:ascii="黑体" w:hAnsi="宋体" w:eastAsia="黑体" w:cs="黑体"/>
                <w:i w:val="0"/>
                <w:iCs w:val="0"/>
                <w:caps w:val="0"/>
                <w:color w:val="000000"/>
                <w:spacing w:val="0"/>
                <w:sz w:val="22"/>
                <w:szCs w:val="22"/>
                <w:u w:val="none"/>
              </w:rPr>
            </w:pPr>
            <w:r>
              <w:rPr>
                <w:rFonts w:hint="eastAsia" w:ascii="黑体" w:hAnsi="宋体" w:eastAsia="黑体" w:cs="黑体"/>
                <w:i w:val="0"/>
                <w:iCs w:val="0"/>
                <w:caps w:val="0"/>
                <w:color w:val="000000"/>
                <w:spacing w:val="0"/>
                <w:kern w:val="0"/>
                <w:sz w:val="22"/>
                <w:szCs w:val="22"/>
                <w:u w:val="none"/>
                <w:lang w:val="en-US" w:eastAsia="zh-CN" w:bidi="ar"/>
              </w:rPr>
              <w:t>资质条件</w:t>
            </w:r>
          </w:p>
        </w:tc>
        <w:tc>
          <w:tcPr>
            <w:tcW w:w="34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jc w:val="center"/>
              <w:textAlignment w:val="center"/>
              <w:rPr>
                <w:rFonts w:hint="eastAsia" w:ascii="黑体" w:hAnsi="宋体" w:eastAsia="黑体" w:cs="黑体"/>
                <w:i w:val="0"/>
                <w:iCs w:val="0"/>
                <w:caps w:val="0"/>
                <w:color w:val="000000"/>
                <w:spacing w:val="0"/>
                <w:sz w:val="22"/>
                <w:szCs w:val="22"/>
                <w:u w:val="none"/>
              </w:rPr>
            </w:pPr>
            <w:r>
              <w:rPr>
                <w:rFonts w:hint="eastAsia" w:ascii="黑体" w:hAnsi="宋体" w:eastAsia="黑体" w:cs="黑体"/>
                <w:i w:val="0"/>
                <w:iCs w:val="0"/>
                <w:caps w:val="0"/>
                <w:color w:val="000000"/>
                <w:spacing w:val="0"/>
                <w:kern w:val="0"/>
                <w:sz w:val="22"/>
                <w:szCs w:val="22"/>
                <w:u w:val="none"/>
                <w:lang w:val="en-US" w:eastAsia="zh-CN" w:bidi="ar"/>
              </w:rPr>
              <w:t>资质依据</w:t>
            </w:r>
          </w:p>
        </w:tc>
        <w:tc>
          <w:tcPr>
            <w:tcW w:w="104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75" w:type="dxa"/>
              <w:right w:w="15" w:type="dxa"/>
            </w:tcMar>
            <w:vAlign w:val="center"/>
          </w:tcPr>
          <w:p>
            <w:pPr>
              <w:jc w:val="center"/>
              <w:rPr>
                <w:rFonts w:hint="eastAsia" w:ascii="黑体" w:hAnsi="宋体" w:eastAsia="黑体" w:cs="黑体"/>
                <w:i w:val="0"/>
                <w:iCs w:val="0"/>
                <w:caps w:val="0"/>
                <w:color w:val="000000"/>
                <w:spacing w:val="0"/>
                <w:sz w:val="22"/>
                <w:szCs w:val="22"/>
                <w:u w:val="none"/>
              </w:rPr>
            </w:pPr>
          </w:p>
        </w:tc>
        <w:tc>
          <w:tcPr>
            <w:tcW w:w="121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75" w:type="dxa"/>
              <w:right w:w="15" w:type="dxa"/>
            </w:tcMar>
            <w:vAlign w:val="center"/>
          </w:tcPr>
          <w:p>
            <w:pPr>
              <w:jc w:val="center"/>
              <w:rPr>
                <w:rFonts w:hint="eastAsia" w:ascii="黑体" w:hAnsi="宋体" w:eastAsia="黑体" w:cs="黑体"/>
                <w:i w:val="0"/>
                <w:iCs w:val="0"/>
                <w:caps w:val="0"/>
                <w:color w:val="000000"/>
                <w:spacing w:val="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000" w:hRule="atLeast"/>
        </w:trPr>
        <w:tc>
          <w:tcPr>
            <w:tcW w:w="46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jc w:val="center"/>
              <w:textAlignment w:val="center"/>
              <w:rPr>
                <w:rFonts w:hint="default" w:ascii="楷体" w:hAnsi="楷体" w:eastAsia="楷体" w:cs="楷体"/>
                <w:i w:val="0"/>
                <w:iCs w:val="0"/>
                <w:caps w:val="0"/>
                <w:color w:val="000000"/>
                <w:spacing w:val="0"/>
                <w:kern w:val="0"/>
                <w:sz w:val="20"/>
                <w:szCs w:val="20"/>
                <w:u w:val="none"/>
                <w:lang w:val="en-US" w:eastAsia="zh-CN" w:bidi="ar"/>
              </w:rPr>
            </w:pPr>
            <w:r>
              <w:rPr>
                <w:rFonts w:hint="eastAsia" w:ascii="楷体" w:hAnsi="楷体" w:eastAsia="楷体" w:cs="楷体"/>
                <w:i w:val="0"/>
                <w:iCs w:val="0"/>
                <w:caps w:val="0"/>
                <w:color w:val="000000"/>
                <w:spacing w:val="0"/>
                <w:kern w:val="0"/>
                <w:sz w:val="20"/>
                <w:szCs w:val="20"/>
                <w:u w:val="none"/>
                <w:lang w:val="en-US" w:eastAsia="zh-CN" w:bidi="ar"/>
              </w:rPr>
              <w:t>1</w:t>
            </w:r>
          </w:p>
        </w:tc>
        <w:tc>
          <w:tcPr>
            <w:tcW w:w="128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jc w:val="left"/>
              <w:textAlignment w:val="center"/>
              <w:rPr>
                <w:rFonts w:hint="eastAsia" w:ascii="宋体" w:hAnsi="宋体" w:eastAsia="宋体" w:cs="宋体"/>
                <w:i w:val="0"/>
                <w:iCs w:val="0"/>
                <w:caps w:val="0"/>
                <w:color w:val="000000"/>
                <w:spacing w:val="0"/>
                <w:kern w:val="0"/>
                <w:sz w:val="16"/>
                <w:szCs w:val="16"/>
                <w:u w:val="none"/>
                <w:lang w:val="en-US" w:eastAsia="zh-CN" w:bidi="ar"/>
              </w:rPr>
            </w:pPr>
            <w:r>
              <w:rPr>
                <w:rFonts w:hint="eastAsia" w:ascii="宋体" w:hAnsi="宋体" w:eastAsia="宋体" w:cs="宋体"/>
                <w:i w:val="0"/>
                <w:iCs w:val="0"/>
                <w:caps w:val="0"/>
                <w:color w:val="000000"/>
                <w:spacing w:val="0"/>
                <w:kern w:val="0"/>
                <w:sz w:val="16"/>
                <w:szCs w:val="16"/>
                <w:u w:val="none"/>
                <w:lang w:val="en-US" w:eastAsia="zh-CN" w:bidi="ar"/>
              </w:rPr>
              <w:t>公共场所卫生许可</w:t>
            </w:r>
          </w:p>
        </w:tc>
        <w:tc>
          <w:tcPr>
            <w:tcW w:w="369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jc w:val="left"/>
              <w:textAlignment w:val="center"/>
              <w:rPr>
                <w:rFonts w:hint="eastAsia" w:ascii="宋体" w:hAnsi="宋体" w:eastAsia="宋体" w:cs="宋体"/>
                <w:i w:val="0"/>
                <w:iCs w:val="0"/>
                <w:caps w:val="0"/>
                <w:color w:val="000000"/>
                <w:spacing w:val="0"/>
                <w:kern w:val="0"/>
                <w:sz w:val="16"/>
                <w:szCs w:val="16"/>
                <w:u w:val="none"/>
                <w:lang w:val="en-US" w:eastAsia="zh-CN" w:bidi="ar"/>
              </w:rPr>
            </w:pPr>
            <w:r>
              <w:rPr>
                <w:rFonts w:hint="eastAsia" w:ascii="宋体" w:hAnsi="宋体" w:eastAsia="宋体" w:cs="宋体"/>
                <w:i w:val="0"/>
                <w:iCs w:val="0"/>
                <w:caps w:val="0"/>
                <w:color w:val="000000"/>
                <w:spacing w:val="0"/>
                <w:kern w:val="0"/>
                <w:sz w:val="16"/>
                <w:szCs w:val="16"/>
                <w:u w:val="none"/>
                <w:lang w:val="en-US" w:eastAsia="zh-CN" w:bidi="ar"/>
              </w:rPr>
              <w:t>1.《公共场所卫生管理条例》（1987年4月1日国务院发布，2019年4月23日国务院令第714号修改）第四条 国家对公共场所实行‘卫生许可证’制度。</w:t>
            </w:r>
          </w:p>
          <w:p>
            <w:pPr>
              <w:keepNext w:val="0"/>
              <w:keepLines w:val="0"/>
              <w:widowControl/>
              <w:suppressLineNumbers w:val="0"/>
              <w:spacing w:before="0" w:beforeAutospacing="0" w:after="0" w:afterAutospacing="0" w:line="330" w:lineRule="atLeast"/>
              <w:ind w:left="0" w:right="0"/>
              <w:jc w:val="left"/>
              <w:textAlignment w:val="center"/>
              <w:rPr>
                <w:rFonts w:hint="eastAsia" w:ascii="宋体" w:hAnsi="宋体" w:eastAsia="宋体" w:cs="宋体"/>
                <w:i w:val="0"/>
                <w:iCs w:val="0"/>
                <w:caps w:val="0"/>
                <w:color w:val="000000"/>
                <w:spacing w:val="0"/>
                <w:kern w:val="0"/>
                <w:sz w:val="16"/>
                <w:szCs w:val="16"/>
                <w:u w:val="none"/>
                <w:lang w:val="en-US" w:eastAsia="zh-CN" w:bidi="ar"/>
              </w:rPr>
            </w:pPr>
            <w:r>
              <w:rPr>
                <w:rFonts w:hint="eastAsia" w:ascii="宋体" w:hAnsi="宋体" w:eastAsia="宋体" w:cs="宋体"/>
                <w:i w:val="0"/>
                <w:iCs w:val="0"/>
                <w:caps w:val="0"/>
                <w:color w:val="000000"/>
                <w:spacing w:val="0"/>
                <w:kern w:val="0"/>
                <w:sz w:val="16"/>
                <w:szCs w:val="16"/>
                <w:u w:val="none"/>
                <w:lang w:val="en-US" w:eastAsia="zh-CN" w:bidi="ar"/>
              </w:rPr>
              <w:t>“卫生许可证”由县以上卫生行政部门签发。</w:t>
            </w:r>
          </w:p>
          <w:p>
            <w:pPr>
              <w:keepNext w:val="0"/>
              <w:keepLines w:val="0"/>
              <w:widowControl/>
              <w:suppressLineNumbers w:val="0"/>
              <w:spacing w:before="0" w:beforeAutospacing="0" w:after="0" w:afterAutospacing="0" w:line="330" w:lineRule="atLeast"/>
              <w:ind w:left="0" w:right="0"/>
              <w:jc w:val="left"/>
              <w:textAlignment w:val="center"/>
              <w:rPr>
                <w:rFonts w:hint="eastAsia" w:ascii="宋体" w:hAnsi="宋体" w:eastAsia="宋体" w:cs="宋体"/>
                <w:i w:val="0"/>
                <w:iCs w:val="0"/>
                <w:caps w:val="0"/>
                <w:color w:val="000000"/>
                <w:spacing w:val="0"/>
                <w:kern w:val="0"/>
                <w:sz w:val="16"/>
                <w:szCs w:val="16"/>
                <w:u w:val="none"/>
                <w:lang w:val="en-US" w:eastAsia="zh-CN" w:bidi="ar"/>
              </w:rPr>
            </w:pPr>
            <w:r>
              <w:rPr>
                <w:rFonts w:hint="eastAsia" w:ascii="宋体" w:hAnsi="宋体" w:eastAsia="宋体" w:cs="宋体"/>
                <w:i w:val="0"/>
                <w:iCs w:val="0"/>
                <w:caps w:val="0"/>
                <w:color w:val="000000"/>
                <w:spacing w:val="0"/>
                <w:kern w:val="0"/>
                <w:sz w:val="16"/>
                <w:szCs w:val="16"/>
                <w:u w:val="none"/>
                <w:lang w:val="en-US" w:eastAsia="zh-CN" w:bidi="ar"/>
              </w:rPr>
              <w:t>2.《国务院关于第六批取消和调整行政审批项目的决定》（国发〔2012〕52号）下放管理层级的行政审批项目第49项：公共场所改、扩建卫生许可，下放至设区的市级、县级人民政府卫生行政部门。</w:t>
            </w:r>
          </w:p>
          <w:p>
            <w:pPr>
              <w:keepNext w:val="0"/>
              <w:keepLines w:val="0"/>
              <w:widowControl/>
              <w:suppressLineNumbers w:val="0"/>
              <w:spacing w:before="0" w:beforeAutospacing="0" w:after="0" w:afterAutospacing="0" w:line="330" w:lineRule="atLeast"/>
              <w:ind w:left="0" w:right="0"/>
              <w:jc w:val="left"/>
              <w:textAlignment w:val="center"/>
              <w:rPr>
                <w:rFonts w:hint="eastAsia" w:ascii="宋体" w:hAnsi="宋体" w:eastAsia="宋体" w:cs="宋体"/>
                <w:i w:val="0"/>
                <w:iCs w:val="0"/>
                <w:caps w:val="0"/>
                <w:color w:val="000000"/>
                <w:spacing w:val="0"/>
                <w:kern w:val="0"/>
                <w:sz w:val="16"/>
                <w:szCs w:val="16"/>
                <w:u w:val="none"/>
                <w:lang w:val="en-US" w:eastAsia="zh-CN" w:bidi="ar"/>
              </w:rPr>
            </w:pPr>
            <w:r>
              <w:rPr>
                <w:rFonts w:hint="eastAsia" w:ascii="宋体" w:hAnsi="宋体" w:eastAsia="宋体" w:cs="宋体"/>
                <w:i w:val="0"/>
                <w:iCs w:val="0"/>
                <w:caps w:val="0"/>
                <w:color w:val="000000"/>
                <w:spacing w:val="0"/>
                <w:kern w:val="0"/>
                <w:sz w:val="16"/>
                <w:szCs w:val="16"/>
                <w:u w:val="none"/>
                <w:lang w:val="en-US" w:eastAsia="zh-CN" w:bidi="ar"/>
              </w:rPr>
              <w:t>3.《公共场所卫生管理条例实施细则》（2011年3月10日卫生部令第80号公布，2017年12月26日  国家卫生和计划生育委员会令第18号修正）第二十二条：国家对除公园、体育场馆、公共交通工具外的公共场所实行卫生许可证管理。</w:t>
            </w:r>
          </w:p>
          <w:p>
            <w:pPr>
              <w:keepNext w:val="0"/>
              <w:keepLines w:val="0"/>
              <w:widowControl/>
              <w:suppressLineNumbers w:val="0"/>
              <w:spacing w:before="0" w:beforeAutospacing="0" w:after="0" w:afterAutospacing="0" w:line="330" w:lineRule="atLeast"/>
              <w:ind w:left="0" w:right="0"/>
              <w:jc w:val="left"/>
              <w:textAlignment w:val="center"/>
              <w:rPr>
                <w:rFonts w:hint="eastAsia" w:ascii="宋体" w:hAnsi="宋体" w:eastAsia="宋体" w:cs="宋体"/>
                <w:i w:val="0"/>
                <w:iCs w:val="0"/>
                <w:caps w:val="0"/>
                <w:color w:val="000000"/>
                <w:spacing w:val="0"/>
                <w:kern w:val="0"/>
                <w:sz w:val="16"/>
                <w:szCs w:val="16"/>
                <w:u w:val="none"/>
                <w:lang w:val="en-US" w:eastAsia="zh-CN" w:bidi="ar"/>
              </w:rPr>
            </w:pPr>
            <w:r>
              <w:rPr>
                <w:rFonts w:hint="eastAsia" w:ascii="宋体" w:hAnsi="宋体" w:eastAsia="宋体" w:cs="宋体"/>
                <w:i w:val="0"/>
                <w:iCs w:val="0"/>
                <w:caps w:val="0"/>
                <w:color w:val="000000"/>
                <w:spacing w:val="0"/>
                <w:kern w:val="0"/>
                <w:sz w:val="16"/>
                <w:szCs w:val="16"/>
                <w:u w:val="none"/>
                <w:lang w:val="en-US" w:eastAsia="zh-CN" w:bidi="ar"/>
              </w:rPr>
              <w:t>公共场所经营者取得工商行政管理部门颁发的营业执照后，还应当按照规定向县级以上地方人民政府卫生计生行政部门申请卫生许可证，方可营业。</w:t>
            </w:r>
          </w:p>
          <w:p>
            <w:pPr>
              <w:keepNext w:val="0"/>
              <w:keepLines w:val="0"/>
              <w:widowControl/>
              <w:suppressLineNumbers w:val="0"/>
              <w:spacing w:before="0" w:beforeAutospacing="0" w:after="0" w:afterAutospacing="0" w:line="330" w:lineRule="atLeast"/>
              <w:ind w:left="0" w:right="0"/>
              <w:jc w:val="left"/>
              <w:textAlignment w:val="center"/>
              <w:rPr>
                <w:rFonts w:hint="eastAsia" w:ascii="宋体" w:hAnsi="宋体" w:eastAsia="宋体" w:cs="宋体"/>
                <w:i w:val="0"/>
                <w:iCs w:val="0"/>
                <w:caps w:val="0"/>
                <w:color w:val="000000"/>
                <w:spacing w:val="0"/>
                <w:kern w:val="0"/>
                <w:sz w:val="16"/>
                <w:szCs w:val="16"/>
                <w:u w:val="none"/>
                <w:lang w:val="en-US" w:eastAsia="zh-CN" w:bidi="ar"/>
              </w:rPr>
            </w:pPr>
            <w:r>
              <w:rPr>
                <w:rFonts w:hint="eastAsia" w:ascii="宋体" w:hAnsi="宋体" w:eastAsia="宋体" w:cs="宋体"/>
                <w:i w:val="0"/>
                <w:iCs w:val="0"/>
                <w:caps w:val="0"/>
                <w:color w:val="000000"/>
                <w:spacing w:val="0"/>
                <w:kern w:val="0"/>
                <w:sz w:val="16"/>
                <w:szCs w:val="16"/>
                <w:u w:val="none"/>
                <w:lang w:val="en-US" w:eastAsia="zh-CN" w:bidi="ar"/>
              </w:rPr>
              <w:t>公共场所卫生监督的具体范围由省、自治区、直辖市人民政府卫生计生行政部门公布。</w:t>
            </w:r>
          </w:p>
          <w:p>
            <w:pPr>
              <w:keepNext w:val="0"/>
              <w:keepLines w:val="0"/>
              <w:widowControl/>
              <w:suppressLineNumbers w:val="0"/>
              <w:spacing w:before="0" w:beforeAutospacing="0" w:after="0" w:afterAutospacing="0" w:line="330" w:lineRule="atLeast"/>
              <w:ind w:left="0" w:right="0"/>
              <w:jc w:val="left"/>
              <w:textAlignment w:val="center"/>
              <w:rPr>
                <w:rFonts w:hint="eastAsia" w:ascii="宋体" w:hAnsi="宋体" w:eastAsia="宋体" w:cs="宋体"/>
                <w:i w:val="0"/>
                <w:iCs w:val="0"/>
                <w:caps w:val="0"/>
                <w:color w:val="000000"/>
                <w:spacing w:val="0"/>
                <w:kern w:val="0"/>
                <w:sz w:val="16"/>
                <w:szCs w:val="16"/>
                <w:u w:val="none"/>
                <w:lang w:val="en-US" w:eastAsia="zh-CN" w:bidi="ar"/>
              </w:rPr>
            </w:pPr>
            <w:r>
              <w:rPr>
                <w:rFonts w:hint="eastAsia" w:ascii="宋体" w:hAnsi="宋体" w:eastAsia="宋体" w:cs="宋体"/>
                <w:i w:val="0"/>
                <w:iCs w:val="0"/>
                <w:caps w:val="0"/>
                <w:color w:val="000000"/>
                <w:spacing w:val="0"/>
                <w:kern w:val="0"/>
                <w:sz w:val="16"/>
                <w:szCs w:val="16"/>
                <w:u w:val="none"/>
                <w:lang w:val="en-US" w:eastAsia="zh-CN" w:bidi="ar"/>
              </w:rPr>
              <w:t>4.《关于进一步做好公共场所卫生行政许可工作的通知》（卫监督秘〔2013〕143号）第一部分：公共场所卫生许可以及公共场所新建、改建、扩建卫生许可调整下放后的实施机关为设区的市级、县级人民政府卫生行政部门，设区的市级卫生行政部门应组织制定辖区内分级管理的范围和职责，并落实执法责任制，市级卫生行政部门直接管辖单位以本辖区内跨区域连锁型、有重大影响或较大规模的公共场所单位为主。</w:t>
            </w:r>
          </w:p>
        </w:tc>
        <w:tc>
          <w:tcPr>
            <w:tcW w:w="128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jc w:val="both"/>
              <w:textAlignment w:val="center"/>
              <w:rPr>
                <w:rFonts w:hint="default" w:ascii="宋体" w:hAnsi="宋体" w:eastAsia="宋体" w:cs="宋体"/>
                <w:i w:val="0"/>
                <w:iCs w:val="0"/>
                <w:caps w:val="0"/>
                <w:color w:val="000000"/>
                <w:spacing w:val="0"/>
                <w:kern w:val="0"/>
                <w:sz w:val="16"/>
                <w:szCs w:val="16"/>
                <w:u w:val="none"/>
                <w:lang w:val="en-US" w:eastAsia="zh-CN" w:bidi="ar"/>
              </w:rPr>
            </w:pPr>
            <w:r>
              <w:rPr>
                <w:rFonts w:hint="eastAsia" w:ascii="宋体" w:hAnsi="宋体" w:eastAsia="宋体" w:cs="宋体"/>
                <w:i w:val="0"/>
                <w:iCs w:val="0"/>
                <w:caps w:val="0"/>
                <w:color w:val="000000"/>
                <w:spacing w:val="0"/>
                <w:kern w:val="0"/>
                <w:sz w:val="16"/>
                <w:szCs w:val="16"/>
                <w:u w:val="none"/>
                <w:lang w:val="en-US" w:eastAsia="zh-CN" w:bidi="ar"/>
              </w:rPr>
              <w:t>公共场所卫生许可审核</w:t>
            </w:r>
          </w:p>
        </w:tc>
        <w:tc>
          <w:tcPr>
            <w:tcW w:w="102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jc w:val="left"/>
              <w:textAlignment w:val="center"/>
              <w:rPr>
                <w:rFonts w:hint="default" w:ascii="宋体" w:hAnsi="宋体" w:eastAsia="宋体" w:cs="宋体"/>
                <w:i w:val="0"/>
                <w:iCs w:val="0"/>
                <w:caps w:val="0"/>
                <w:color w:val="000000"/>
                <w:spacing w:val="0"/>
                <w:kern w:val="0"/>
                <w:sz w:val="16"/>
                <w:szCs w:val="16"/>
                <w:u w:val="none"/>
                <w:lang w:val="en-US" w:eastAsia="zh-CN" w:bidi="ar"/>
              </w:rPr>
            </w:pPr>
            <w:r>
              <w:rPr>
                <w:rFonts w:hint="eastAsia" w:ascii="宋体" w:hAnsi="宋体" w:eastAsia="宋体" w:cs="宋体"/>
                <w:i w:val="0"/>
                <w:iCs w:val="0"/>
                <w:caps w:val="0"/>
                <w:color w:val="000000"/>
                <w:spacing w:val="0"/>
                <w:kern w:val="0"/>
                <w:sz w:val="16"/>
                <w:szCs w:val="16"/>
                <w:u w:val="none"/>
                <w:lang w:val="en-US" w:eastAsia="zh-CN" w:bidi="ar"/>
              </w:rPr>
              <w:t>具有相应资质的公共场所</w:t>
            </w:r>
          </w:p>
        </w:tc>
        <w:tc>
          <w:tcPr>
            <w:tcW w:w="34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jc w:val="left"/>
              <w:textAlignment w:val="center"/>
              <w:rPr>
                <w:rFonts w:hint="eastAsia" w:ascii="宋体" w:hAnsi="宋体" w:eastAsia="宋体" w:cs="宋体"/>
                <w:i w:val="0"/>
                <w:iCs w:val="0"/>
                <w:caps w:val="0"/>
                <w:color w:val="000000"/>
                <w:spacing w:val="0"/>
                <w:kern w:val="0"/>
                <w:sz w:val="16"/>
                <w:szCs w:val="16"/>
                <w:u w:val="none"/>
                <w:lang w:val="en-US" w:eastAsia="zh-CN" w:bidi="ar"/>
              </w:rPr>
            </w:pPr>
            <w:r>
              <w:rPr>
                <w:rFonts w:hint="eastAsia" w:ascii="宋体" w:hAnsi="宋体" w:eastAsia="宋体" w:cs="宋体"/>
                <w:i w:val="0"/>
                <w:iCs w:val="0"/>
                <w:caps w:val="0"/>
                <w:color w:val="000000"/>
                <w:spacing w:val="0"/>
                <w:kern w:val="0"/>
                <w:sz w:val="16"/>
                <w:szCs w:val="16"/>
                <w:u w:val="none"/>
                <w:lang w:val="en-US" w:eastAsia="zh-CN" w:bidi="ar"/>
              </w:rPr>
              <w:t>《公共场所卫生管理条例实施细则》（2011年3月10日卫生部令第80号公布，2017年12月26日  国家卫生和计划生育委员会令第18号修正）第二十二条：国家对除公园、体育场馆、公共交通工具外的公共场所实行卫生许可证管理。</w:t>
            </w:r>
          </w:p>
          <w:p>
            <w:pPr>
              <w:keepNext w:val="0"/>
              <w:keepLines w:val="0"/>
              <w:widowControl/>
              <w:suppressLineNumbers w:val="0"/>
              <w:spacing w:before="0" w:beforeAutospacing="0" w:after="0" w:afterAutospacing="0" w:line="330" w:lineRule="atLeast"/>
              <w:ind w:left="0" w:right="0"/>
              <w:jc w:val="left"/>
              <w:textAlignment w:val="center"/>
              <w:rPr>
                <w:rFonts w:hint="eastAsia" w:ascii="宋体" w:hAnsi="宋体" w:eastAsia="宋体" w:cs="宋体"/>
                <w:i w:val="0"/>
                <w:iCs w:val="0"/>
                <w:caps w:val="0"/>
                <w:color w:val="000000"/>
                <w:spacing w:val="0"/>
                <w:kern w:val="0"/>
                <w:sz w:val="16"/>
                <w:szCs w:val="16"/>
                <w:u w:val="none"/>
                <w:lang w:val="en-US" w:eastAsia="zh-CN" w:bidi="ar"/>
              </w:rPr>
            </w:pPr>
            <w:r>
              <w:rPr>
                <w:rFonts w:hint="eastAsia" w:ascii="宋体" w:hAnsi="宋体" w:eastAsia="宋体" w:cs="宋体"/>
                <w:i w:val="0"/>
                <w:iCs w:val="0"/>
                <w:caps w:val="0"/>
                <w:color w:val="000000"/>
                <w:spacing w:val="0"/>
                <w:kern w:val="0"/>
                <w:sz w:val="16"/>
                <w:szCs w:val="16"/>
                <w:u w:val="none"/>
                <w:lang w:val="en-US" w:eastAsia="zh-CN" w:bidi="ar"/>
              </w:rPr>
              <w:t>公共场所经营者取得工商行政管理部门颁发的营业执照后，还应当按照规定向县级以上地方人民政府卫生计生行政部门申请卫生许可证，方可营业。</w:t>
            </w:r>
          </w:p>
          <w:p>
            <w:pPr>
              <w:keepNext w:val="0"/>
              <w:keepLines w:val="0"/>
              <w:widowControl/>
              <w:suppressLineNumbers w:val="0"/>
              <w:spacing w:before="0" w:beforeAutospacing="0" w:after="0" w:afterAutospacing="0" w:line="330" w:lineRule="atLeast"/>
              <w:ind w:left="0" w:right="0"/>
              <w:jc w:val="left"/>
              <w:textAlignment w:val="center"/>
              <w:rPr>
                <w:rFonts w:hint="eastAsia" w:ascii="宋体" w:hAnsi="宋体" w:eastAsia="宋体" w:cs="宋体"/>
                <w:i w:val="0"/>
                <w:iCs w:val="0"/>
                <w:caps w:val="0"/>
                <w:color w:val="000000"/>
                <w:spacing w:val="0"/>
                <w:kern w:val="0"/>
                <w:sz w:val="16"/>
                <w:szCs w:val="16"/>
                <w:u w:val="none"/>
                <w:lang w:val="en-US" w:eastAsia="zh-CN" w:bidi="ar"/>
              </w:rPr>
            </w:pPr>
            <w:r>
              <w:rPr>
                <w:rFonts w:hint="eastAsia" w:ascii="宋体" w:hAnsi="宋体" w:eastAsia="宋体" w:cs="宋体"/>
                <w:i w:val="0"/>
                <w:iCs w:val="0"/>
                <w:caps w:val="0"/>
                <w:color w:val="000000"/>
                <w:spacing w:val="0"/>
                <w:kern w:val="0"/>
                <w:sz w:val="16"/>
                <w:szCs w:val="16"/>
                <w:u w:val="none"/>
                <w:lang w:val="en-US" w:eastAsia="zh-CN" w:bidi="ar"/>
              </w:rPr>
              <w:t>公共场所卫生监督的具体范围由省、自治区、直辖市人民政府卫生计生行政部门公布。</w:t>
            </w:r>
          </w:p>
          <w:p>
            <w:pPr>
              <w:keepNext w:val="0"/>
              <w:keepLines w:val="0"/>
              <w:widowControl/>
              <w:suppressLineNumbers w:val="0"/>
              <w:spacing w:before="0" w:beforeAutospacing="0" w:after="0" w:afterAutospacing="0" w:line="330" w:lineRule="atLeast"/>
              <w:ind w:left="0" w:right="0"/>
              <w:jc w:val="left"/>
              <w:textAlignment w:val="center"/>
              <w:rPr>
                <w:rFonts w:hint="eastAsia" w:ascii="宋体" w:hAnsi="宋体" w:eastAsia="宋体" w:cs="宋体"/>
                <w:i w:val="0"/>
                <w:iCs w:val="0"/>
                <w:caps w:val="0"/>
                <w:color w:val="000000"/>
                <w:spacing w:val="0"/>
                <w:kern w:val="0"/>
                <w:sz w:val="16"/>
                <w:szCs w:val="16"/>
                <w:u w:val="none"/>
                <w:lang w:val="en-US" w:eastAsia="zh-CN" w:bidi="ar"/>
              </w:rPr>
            </w:pPr>
            <w:r>
              <w:rPr>
                <w:rFonts w:hint="eastAsia" w:ascii="宋体" w:hAnsi="宋体" w:eastAsia="宋体" w:cs="宋体"/>
                <w:i w:val="0"/>
                <w:iCs w:val="0"/>
                <w:caps w:val="0"/>
                <w:color w:val="000000"/>
                <w:spacing w:val="0"/>
                <w:kern w:val="0"/>
                <w:sz w:val="16"/>
                <w:szCs w:val="16"/>
                <w:u w:val="none"/>
                <w:lang w:val="en-US" w:eastAsia="zh-CN" w:bidi="ar"/>
              </w:rPr>
              <w:t>4.《关于进一步做好公共场所卫生行政许可工作的通知》（卫监督秘〔2013〕143号）第一部分：公共场所卫生许可以及公共场所新建、改建、扩建卫生许可调整下放后的实施机关为设区的市级、县级人民政府卫生行政部门，设区的市级卫生行政部门应组织制定辖区内分级管理的范围和职责，并落实执法责任制，市级卫生行政部门直接管辖单位以本辖区内跨区域连锁型、有重大影响或较大规模的公共场所单位为主。</w:t>
            </w:r>
          </w:p>
        </w:tc>
        <w:tc>
          <w:tcPr>
            <w:tcW w:w="104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jc w:val="both"/>
              <w:textAlignment w:val="center"/>
              <w:rPr>
                <w:rFonts w:hint="default" w:ascii="宋体" w:hAnsi="宋体" w:eastAsia="宋体" w:cs="宋体"/>
                <w:i w:val="0"/>
                <w:iCs w:val="0"/>
                <w:caps w:val="0"/>
                <w:color w:val="000000"/>
                <w:spacing w:val="0"/>
                <w:kern w:val="0"/>
                <w:sz w:val="16"/>
                <w:szCs w:val="16"/>
                <w:u w:val="none"/>
                <w:lang w:val="en-US" w:eastAsia="zh-CN" w:bidi="ar"/>
              </w:rPr>
            </w:pPr>
            <w:r>
              <w:rPr>
                <w:rFonts w:hint="eastAsia" w:ascii="宋体" w:hAnsi="宋体" w:eastAsia="宋体" w:cs="宋体"/>
                <w:i w:val="0"/>
                <w:iCs w:val="0"/>
                <w:caps w:val="0"/>
                <w:color w:val="000000"/>
                <w:spacing w:val="0"/>
                <w:kern w:val="0"/>
                <w:sz w:val="16"/>
                <w:szCs w:val="16"/>
                <w:u w:val="none"/>
                <w:lang w:val="en-US" w:eastAsia="zh-CN" w:bidi="ar"/>
              </w:rPr>
              <w:t>市场自主调节价格</w:t>
            </w:r>
          </w:p>
        </w:tc>
        <w:tc>
          <w:tcPr>
            <w:tcW w:w="121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jc w:val="center"/>
              <w:textAlignment w:val="center"/>
              <w:rPr>
                <w:rFonts w:hint="eastAsia" w:ascii="宋体" w:hAnsi="宋体" w:eastAsia="宋体" w:cs="宋体"/>
                <w:i w:val="0"/>
                <w:iCs w:val="0"/>
                <w:caps w:val="0"/>
                <w:color w:val="000000"/>
                <w:spacing w:val="0"/>
                <w:kern w:val="0"/>
                <w:sz w:val="16"/>
                <w:szCs w:val="16"/>
                <w:u w:val="none"/>
                <w:lang w:val="en-US" w:eastAsia="zh-CN" w:bidi="ar"/>
              </w:rPr>
            </w:pPr>
            <w:r>
              <w:rPr>
                <w:rFonts w:hint="eastAsia" w:ascii="宋体" w:hAnsi="宋体" w:eastAsia="宋体" w:cs="宋体"/>
                <w:i w:val="0"/>
                <w:iCs w:val="0"/>
                <w:caps w:val="0"/>
                <w:color w:val="000000"/>
                <w:spacing w:val="0"/>
                <w:kern w:val="0"/>
                <w:sz w:val="16"/>
                <w:szCs w:val="16"/>
                <w:u w:val="none"/>
                <w:lang w:val="en-US" w:eastAsia="zh-CN" w:bidi="ar"/>
              </w:rPr>
              <w:t>行政相对人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000" w:hRule="atLeast"/>
        </w:trPr>
        <w:tc>
          <w:tcPr>
            <w:tcW w:w="46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jc w:val="center"/>
              <w:textAlignment w:val="center"/>
              <w:rPr>
                <w:rFonts w:ascii="楷体" w:hAnsi="楷体" w:eastAsia="楷体" w:cs="楷体"/>
                <w:i w:val="0"/>
                <w:iCs w:val="0"/>
                <w:caps w:val="0"/>
                <w:color w:val="000000"/>
                <w:spacing w:val="0"/>
                <w:sz w:val="20"/>
                <w:szCs w:val="20"/>
                <w:highlight w:val="cyan"/>
                <w:u w:val="none"/>
              </w:rPr>
            </w:pPr>
            <w:r>
              <w:rPr>
                <w:rFonts w:hint="eastAsia" w:ascii="楷体" w:hAnsi="楷体" w:eastAsia="楷体" w:cs="楷体"/>
                <w:i w:val="0"/>
                <w:iCs w:val="0"/>
                <w:caps w:val="0"/>
                <w:color w:val="000000"/>
                <w:spacing w:val="0"/>
                <w:kern w:val="0"/>
                <w:sz w:val="20"/>
                <w:szCs w:val="20"/>
                <w:highlight w:val="cyan"/>
                <w:u w:val="none"/>
                <w:lang w:val="en-US" w:eastAsia="zh-CN" w:bidi="ar"/>
              </w:rPr>
              <w:t>1</w:t>
            </w:r>
          </w:p>
        </w:tc>
        <w:tc>
          <w:tcPr>
            <w:tcW w:w="128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jc w:val="left"/>
              <w:textAlignment w:val="center"/>
              <w:rPr>
                <w:rFonts w:hint="eastAsia" w:ascii="宋体" w:hAnsi="宋体" w:eastAsia="宋体" w:cs="宋体"/>
                <w:i w:val="0"/>
                <w:iCs w:val="0"/>
                <w:caps w:val="0"/>
                <w:color w:val="000000"/>
                <w:spacing w:val="0"/>
                <w:sz w:val="16"/>
                <w:szCs w:val="16"/>
                <w:highlight w:val="cyan"/>
                <w:u w:val="none"/>
              </w:rPr>
            </w:pPr>
            <w:r>
              <w:rPr>
                <w:rFonts w:hint="eastAsia" w:ascii="宋体" w:hAnsi="宋体" w:eastAsia="宋体" w:cs="宋体"/>
                <w:i w:val="0"/>
                <w:iCs w:val="0"/>
                <w:caps w:val="0"/>
                <w:color w:val="000000"/>
                <w:spacing w:val="0"/>
                <w:kern w:val="0"/>
                <w:sz w:val="16"/>
                <w:szCs w:val="16"/>
                <w:highlight w:val="cyan"/>
                <w:u w:val="none"/>
                <w:lang w:val="en-US" w:eastAsia="zh-CN" w:bidi="ar"/>
              </w:rPr>
              <w:t>医疗机构建设项目放射性职业病危害预评价报告编制</w:t>
            </w:r>
          </w:p>
        </w:tc>
        <w:tc>
          <w:tcPr>
            <w:tcW w:w="369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jc w:val="left"/>
              <w:textAlignment w:val="center"/>
              <w:rPr>
                <w:rFonts w:hint="eastAsia" w:ascii="宋体" w:hAnsi="宋体" w:eastAsia="宋体" w:cs="宋体"/>
                <w:i w:val="0"/>
                <w:iCs w:val="0"/>
                <w:caps w:val="0"/>
                <w:color w:val="000000"/>
                <w:spacing w:val="0"/>
                <w:sz w:val="16"/>
                <w:szCs w:val="16"/>
                <w:highlight w:val="cyan"/>
                <w:u w:val="none"/>
              </w:rPr>
            </w:pPr>
            <w:r>
              <w:rPr>
                <w:rFonts w:hint="eastAsia" w:ascii="宋体" w:hAnsi="宋体" w:eastAsia="宋体" w:cs="宋体"/>
                <w:i w:val="0"/>
                <w:iCs w:val="0"/>
                <w:caps w:val="0"/>
                <w:color w:val="000000"/>
                <w:spacing w:val="0"/>
                <w:kern w:val="0"/>
                <w:sz w:val="16"/>
                <w:szCs w:val="16"/>
                <w:highlight w:val="cyan"/>
                <w:u w:val="none"/>
                <w:lang w:val="en-US" w:eastAsia="zh-CN" w:bidi="ar"/>
              </w:rPr>
              <w:t>《放射卫生技术服务机构管理办法》(卫监督发〔2012〕25号）第五条 ：建设单位应当在可行性论证阶段和竣工验收前分别委托具备相应资质的放射卫生技术服务机构编制放射诊疗建设项目职业病危害放射防护预评价报告和职业病危害控制效果放射防护评价报告。</w:t>
            </w:r>
          </w:p>
        </w:tc>
        <w:tc>
          <w:tcPr>
            <w:tcW w:w="128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jc w:val="both"/>
              <w:textAlignment w:val="center"/>
              <w:rPr>
                <w:rFonts w:hint="eastAsia" w:ascii="宋体" w:hAnsi="宋体" w:eastAsia="宋体" w:cs="宋体"/>
                <w:i w:val="0"/>
                <w:iCs w:val="0"/>
                <w:caps w:val="0"/>
                <w:color w:val="000000"/>
                <w:spacing w:val="0"/>
                <w:sz w:val="16"/>
                <w:szCs w:val="16"/>
                <w:highlight w:val="cyan"/>
                <w:u w:val="none"/>
              </w:rPr>
            </w:pPr>
            <w:r>
              <w:rPr>
                <w:rFonts w:hint="eastAsia" w:ascii="宋体" w:hAnsi="宋体" w:eastAsia="宋体" w:cs="宋体"/>
                <w:i w:val="0"/>
                <w:iCs w:val="0"/>
                <w:caps w:val="0"/>
                <w:color w:val="000000"/>
                <w:spacing w:val="0"/>
                <w:kern w:val="0"/>
                <w:sz w:val="16"/>
                <w:szCs w:val="16"/>
                <w:highlight w:val="cyan"/>
                <w:u w:val="none"/>
                <w:lang w:val="en-US" w:eastAsia="zh-CN" w:bidi="ar"/>
              </w:rPr>
              <w:t>医疗机构建设项目放射性职业病危害预评价报告审核</w:t>
            </w:r>
          </w:p>
        </w:tc>
        <w:tc>
          <w:tcPr>
            <w:tcW w:w="102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jc w:val="left"/>
              <w:textAlignment w:val="center"/>
              <w:rPr>
                <w:rFonts w:hint="eastAsia" w:ascii="宋体" w:hAnsi="宋体" w:eastAsia="宋体" w:cs="宋体"/>
                <w:i w:val="0"/>
                <w:iCs w:val="0"/>
                <w:caps w:val="0"/>
                <w:color w:val="000000"/>
                <w:spacing w:val="0"/>
                <w:sz w:val="16"/>
                <w:szCs w:val="16"/>
                <w:highlight w:val="cyan"/>
                <w:u w:val="none"/>
              </w:rPr>
            </w:pPr>
            <w:r>
              <w:rPr>
                <w:rFonts w:hint="eastAsia" w:ascii="宋体" w:hAnsi="宋体" w:eastAsia="宋体" w:cs="宋体"/>
                <w:i w:val="0"/>
                <w:iCs w:val="0"/>
                <w:caps w:val="0"/>
                <w:color w:val="000000"/>
                <w:spacing w:val="0"/>
                <w:kern w:val="0"/>
                <w:sz w:val="16"/>
                <w:szCs w:val="16"/>
                <w:highlight w:val="cyan"/>
                <w:u w:val="none"/>
                <w:lang w:val="en-US" w:eastAsia="zh-CN" w:bidi="ar"/>
              </w:rPr>
              <w:t>具有相应资质的放射卫生技术服务机构</w:t>
            </w:r>
          </w:p>
        </w:tc>
        <w:tc>
          <w:tcPr>
            <w:tcW w:w="34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jc w:val="left"/>
              <w:textAlignment w:val="center"/>
              <w:rPr>
                <w:rFonts w:hint="eastAsia" w:ascii="宋体" w:hAnsi="宋体" w:eastAsia="宋体" w:cs="宋体"/>
                <w:i w:val="0"/>
                <w:iCs w:val="0"/>
                <w:caps w:val="0"/>
                <w:color w:val="000000"/>
                <w:spacing w:val="0"/>
                <w:sz w:val="16"/>
                <w:szCs w:val="16"/>
                <w:highlight w:val="cyan"/>
                <w:u w:val="none"/>
              </w:rPr>
            </w:pPr>
            <w:r>
              <w:rPr>
                <w:rFonts w:hint="eastAsia" w:ascii="宋体" w:hAnsi="宋体" w:eastAsia="宋体" w:cs="宋体"/>
                <w:i w:val="0"/>
                <w:iCs w:val="0"/>
                <w:caps w:val="0"/>
                <w:color w:val="000000"/>
                <w:spacing w:val="0"/>
                <w:kern w:val="0"/>
                <w:sz w:val="16"/>
                <w:szCs w:val="16"/>
                <w:highlight w:val="cyan"/>
                <w:u w:val="none"/>
                <w:lang w:val="en-US" w:eastAsia="zh-CN" w:bidi="ar"/>
              </w:rPr>
              <w:t>《放射卫生技术服务机构管理办法》（卫监督发〔2012〕25号）第二条：本办法所称的放射卫生技术服务机构是指为医疗机构提供放射诊疗建设项目职业病危害放射防护评价、放射卫生防护检测，提供放射防护器材和含放射性产品检测、个人剂量监测等技术服务的机构。第三条：从事放射卫生技术服务的机构，必须取得卫生部或者省级卫生行政部门颁发的《放射卫生技术服务机构资质证书》。</w:t>
            </w:r>
          </w:p>
        </w:tc>
        <w:tc>
          <w:tcPr>
            <w:tcW w:w="104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jc w:val="center"/>
              <w:textAlignment w:val="center"/>
              <w:rPr>
                <w:rFonts w:hint="eastAsia" w:ascii="宋体" w:hAnsi="宋体" w:eastAsia="宋体" w:cs="宋体"/>
                <w:i w:val="0"/>
                <w:iCs w:val="0"/>
                <w:caps w:val="0"/>
                <w:color w:val="000000"/>
                <w:spacing w:val="0"/>
                <w:sz w:val="16"/>
                <w:szCs w:val="16"/>
                <w:highlight w:val="cyan"/>
                <w:u w:val="none"/>
              </w:rPr>
            </w:pPr>
            <w:r>
              <w:rPr>
                <w:rFonts w:hint="eastAsia" w:ascii="宋体" w:hAnsi="宋体" w:eastAsia="宋体" w:cs="宋体"/>
                <w:i w:val="0"/>
                <w:iCs w:val="0"/>
                <w:caps w:val="0"/>
                <w:color w:val="000000"/>
                <w:spacing w:val="0"/>
                <w:kern w:val="0"/>
                <w:sz w:val="16"/>
                <w:szCs w:val="16"/>
                <w:highlight w:val="cyan"/>
                <w:u w:val="none"/>
                <w:lang w:val="en-US" w:eastAsia="zh-CN" w:bidi="ar"/>
              </w:rPr>
              <w:t>市场自主调节价格</w:t>
            </w:r>
          </w:p>
        </w:tc>
        <w:tc>
          <w:tcPr>
            <w:tcW w:w="121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jc w:val="center"/>
              <w:textAlignment w:val="center"/>
              <w:rPr>
                <w:rFonts w:hint="eastAsia" w:ascii="宋体" w:hAnsi="宋体" w:eastAsia="宋体" w:cs="宋体"/>
                <w:i w:val="0"/>
                <w:iCs w:val="0"/>
                <w:caps w:val="0"/>
                <w:color w:val="000000"/>
                <w:spacing w:val="0"/>
                <w:sz w:val="16"/>
                <w:szCs w:val="16"/>
                <w:highlight w:val="cyan"/>
                <w:u w:val="none"/>
              </w:rPr>
            </w:pPr>
            <w:r>
              <w:rPr>
                <w:rFonts w:hint="eastAsia" w:ascii="宋体" w:hAnsi="宋体" w:eastAsia="宋体" w:cs="宋体"/>
                <w:i w:val="0"/>
                <w:iCs w:val="0"/>
                <w:caps w:val="0"/>
                <w:color w:val="000000"/>
                <w:spacing w:val="0"/>
                <w:kern w:val="0"/>
                <w:sz w:val="16"/>
                <w:szCs w:val="16"/>
                <w:highlight w:val="cyan"/>
                <w:u w:val="none"/>
                <w:lang w:val="en-US" w:eastAsia="zh-CN" w:bidi="ar"/>
              </w:rPr>
              <w:t>行政相对人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000" w:hRule="atLeast"/>
        </w:trPr>
        <w:tc>
          <w:tcPr>
            <w:tcW w:w="46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jc w:val="center"/>
              <w:textAlignment w:val="center"/>
              <w:rPr>
                <w:rFonts w:hint="eastAsia" w:ascii="楷体" w:hAnsi="楷体" w:eastAsia="楷体" w:cs="楷体"/>
                <w:i w:val="0"/>
                <w:iCs w:val="0"/>
                <w:caps w:val="0"/>
                <w:color w:val="000000"/>
                <w:spacing w:val="0"/>
                <w:sz w:val="20"/>
                <w:szCs w:val="20"/>
                <w:highlight w:val="cyan"/>
                <w:u w:val="none"/>
              </w:rPr>
            </w:pPr>
            <w:r>
              <w:rPr>
                <w:rFonts w:hint="eastAsia" w:ascii="楷体" w:hAnsi="楷体" w:eastAsia="楷体" w:cs="楷体"/>
                <w:i w:val="0"/>
                <w:iCs w:val="0"/>
                <w:caps w:val="0"/>
                <w:color w:val="000000"/>
                <w:spacing w:val="0"/>
                <w:kern w:val="0"/>
                <w:sz w:val="20"/>
                <w:szCs w:val="20"/>
                <w:highlight w:val="cyan"/>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jc w:val="left"/>
              <w:textAlignment w:val="center"/>
              <w:rPr>
                <w:rFonts w:hint="eastAsia" w:ascii="宋体" w:hAnsi="宋体" w:eastAsia="宋体" w:cs="宋体"/>
                <w:i w:val="0"/>
                <w:iCs w:val="0"/>
                <w:caps w:val="0"/>
                <w:color w:val="000000"/>
                <w:spacing w:val="0"/>
                <w:sz w:val="16"/>
                <w:szCs w:val="16"/>
                <w:highlight w:val="cyan"/>
                <w:u w:val="none"/>
              </w:rPr>
            </w:pPr>
            <w:r>
              <w:rPr>
                <w:rFonts w:hint="eastAsia" w:ascii="宋体" w:hAnsi="宋体" w:eastAsia="宋体" w:cs="宋体"/>
                <w:i w:val="0"/>
                <w:iCs w:val="0"/>
                <w:caps w:val="0"/>
                <w:color w:val="000000"/>
                <w:spacing w:val="0"/>
                <w:kern w:val="0"/>
                <w:sz w:val="16"/>
                <w:szCs w:val="16"/>
                <w:highlight w:val="cyan"/>
                <w:u w:val="none"/>
                <w:lang w:val="en-US" w:eastAsia="zh-CN" w:bidi="ar"/>
              </w:rPr>
              <w:t>医疗机构建设项目放射性职业病危害控制效果评价报告编制</w:t>
            </w:r>
          </w:p>
        </w:tc>
        <w:tc>
          <w:tcPr>
            <w:tcW w:w="369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jc w:val="both"/>
              <w:textAlignment w:val="center"/>
              <w:rPr>
                <w:rFonts w:hint="eastAsia" w:ascii="宋体" w:hAnsi="宋体" w:eastAsia="宋体" w:cs="宋体"/>
                <w:i w:val="0"/>
                <w:iCs w:val="0"/>
                <w:caps w:val="0"/>
                <w:color w:val="000000"/>
                <w:spacing w:val="0"/>
                <w:sz w:val="16"/>
                <w:szCs w:val="16"/>
                <w:highlight w:val="cyan"/>
                <w:u w:val="none"/>
              </w:rPr>
            </w:pPr>
            <w:r>
              <w:rPr>
                <w:rFonts w:hint="eastAsia" w:ascii="宋体" w:hAnsi="宋体" w:eastAsia="宋体" w:cs="宋体"/>
                <w:i w:val="0"/>
                <w:iCs w:val="0"/>
                <w:caps w:val="0"/>
                <w:color w:val="000000"/>
                <w:spacing w:val="0"/>
                <w:kern w:val="0"/>
                <w:sz w:val="16"/>
                <w:szCs w:val="16"/>
                <w:highlight w:val="cyan"/>
                <w:u w:val="none"/>
                <w:lang w:val="en-US" w:eastAsia="zh-CN" w:bidi="ar"/>
              </w:rPr>
              <w:t>《放射卫生技术服务机构管理办法》(卫监督发〔2012〕25号）第五条 ：建设单位应当在可行性论证阶段和竣工验收前分别委托具备相应资质的放射卫生技术服务机构编制放射诊疗建设项目职业病危害放射防护预评价报告和职业病危害控制效果放射防护评价报告。</w:t>
            </w:r>
          </w:p>
        </w:tc>
        <w:tc>
          <w:tcPr>
            <w:tcW w:w="128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jc w:val="both"/>
              <w:textAlignment w:val="center"/>
              <w:rPr>
                <w:rFonts w:hint="eastAsia" w:ascii="宋体" w:hAnsi="宋体" w:eastAsia="宋体" w:cs="宋体"/>
                <w:i w:val="0"/>
                <w:iCs w:val="0"/>
                <w:caps w:val="0"/>
                <w:color w:val="000000"/>
                <w:spacing w:val="0"/>
                <w:sz w:val="16"/>
                <w:szCs w:val="16"/>
                <w:highlight w:val="cyan"/>
                <w:u w:val="none"/>
              </w:rPr>
            </w:pPr>
            <w:r>
              <w:rPr>
                <w:rFonts w:hint="eastAsia" w:ascii="宋体" w:hAnsi="宋体" w:eastAsia="宋体" w:cs="宋体"/>
                <w:i w:val="0"/>
                <w:iCs w:val="0"/>
                <w:caps w:val="0"/>
                <w:color w:val="000000"/>
                <w:spacing w:val="0"/>
                <w:kern w:val="0"/>
                <w:sz w:val="16"/>
                <w:szCs w:val="16"/>
                <w:highlight w:val="cyan"/>
                <w:u w:val="none"/>
                <w:lang w:val="en-US" w:eastAsia="zh-CN" w:bidi="ar"/>
              </w:rPr>
              <w:t>医疗机构建设项目放射性职业病防护设施竣工验收</w:t>
            </w:r>
          </w:p>
        </w:tc>
        <w:tc>
          <w:tcPr>
            <w:tcW w:w="102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jc w:val="left"/>
              <w:textAlignment w:val="center"/>
              <w:rPr>
                <w:rFonts w:hint="eastAsia" w:ascii="宋体" w:hAnsi="宋体" w:eastAsia="宋体" w:cs="宋体"/>
                <w:i w:val="0"/>
                <w:iCs w:val="0"/>
                <w:caps w:val="0"/>
                <w:color w:val="000000"/>
                <w:spacing w:val="0"/>
                <w:sz w:val="16"/>
                <w:szCs w:val="16"/>
                <w:highlight w:val="cyan"/>
                <w:u w:val="none"/>
              </w:rPr>
            </w:pPr>
            <w:r>
              <w:rPr>
                <w:rFonts w:hint="eastAsia" w:ascii="宋体" w:hAnsi="宋体" w:eastAsia="宋体" w:cs="宋体"/>
                <w:i w:val="0"/>
                <w:iCs w:val="0"/>
                <w:caps w:val="0"/>
                <w:color w:val="000000"/>
                <w:spacing w:val="0"/>
                <w:kern w:val="0"/>
                <w:sz w:val="16"/>
                <w:szCs w:val="16"/>
                <w:highlight w:val="cyan"/>
                <w:u w:val="none"/>
                <w:lang w:val="en-US" w:eastAsia="zh-CN" w:bidi="ar"/>
              </w:rPr>
              <w:t>具有相应资质的放射卫生技术服务机构</w:t>
            </w:r>
          </w:p>
        </w:tc>
        <w:tc>
          <w:tcPr>
            <w:tcW w:w="34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jc w:val="left"/>
              <w:textAlignment w:val="center"/>
              <w:rPr>
                <w:rFonts w:hint="eastAsia" w:ascii="宋体" w:hAnsi="宋体" w:eastAsia="宋体" w:cs="宋体"/>
                <w:i w:val="0"/>
                <w:iCs w:val="0"/>
                <w:caps w:val="0"/>
                <w:color w:val="000000"/>
                <w:spacing w:val="0"/>
                <w:sz w:val="16"/>
                <w:szCs w:val="16"/>
                <w:highlight w:val="cyan"/>
                <w:u w:val="none"/>
              </w:rPr>
            </w:pPr>
            <w:r>
              <w:rPr>
                <w:rFonts w:hint="eastAsia" w:ascii="宋体" w:hAnsi="宋体" w:eastAsia="宋体" w:cs="宋体"/>
                <w:i w:val="0"/>
                <w:iCs w:val="0"/>
                <w:caps w:val="0"/>
                <w:color w:val="000000"/>
                <w:spacing w:val="0"/>
                <w:kern w:val="0"/>
                <w:sz w:val="16"/>
                <w:szCs w:val="16"/>
                <w:highlight w:val="cyan"/>
                <w:u w:val="none"/>
                <w:lang w:val="en-US" w:eastAsia="zh-CN" w:bidi="ar"/>
              </w:rPr>
              <w:t>《放射卫生技术服务机构管理办法》（卫监督发〔2012〕25号）第二条：本办法所称的放射卫生技术服务机构是指为医疗机构提供放射诊疗建设项目职业病危害放射防护评价、放射卫生防护检测，提供放射防护器材和含放射性产品检测、个人剂量监测等技术服务的机构。第三条：从事放射卫生技术服务的机构，必须取得卫生部或者省级卫生行政部门颁发的《放射卫生技术服务机构资质证书》。</w:t>
            </w:r>
          </w:p>
        </w:tc>
        <w:tc>
          <w:tcPr>
            <w:tcW w:w="104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jc w:val="center"/>
              <w:textAlignment w:val="center"/>
              <w:rPr>
                <w:rFonts w:hint="eastAsia" w:ascii="宋体" w:hAnsi="宋体" w:eastAsia="宋体" w:cs="宋体"/>
                <w:i w:val="0"/>
                <w:iCs w:val="0"/>
                <w:caps w:val="0"/>
                <w:color w:val="000000"/>
                <w:spacing w:val="0"/>
                <w:sz w:val="16"/>
                <w:szCs w:val="16"/>
                <w:highlight w:val="cyan"/>
                <w:u w:val="none"/>
              </w:rPr>
            </w:pPr>
            <w:r>
              <w:rPr>
                <w:rFonts w:hint="eastAsia" w:ascii="宋体" w:hAnsi="宋体" w:eastAsia="宋体" w:cs="宋体"/>
                <w:i w:val="0"/>
                <w:iCs w:val="0"/>
                <w:caps w:val="0"/>
                <w:color w:val="000000"/>
                <w:spacing w:val="0"/>
                <w:kern w:val="0"/>
                <w:sz w:val="16"/>
                <w:szCs w:val="16"/>
                <w:highlight w:val="cyan"/>
                <w:u w:val="none"/>
                <w:lang w:val="en-US" w:eastAsia="zh-CN" w:bidi="ar"/>
              </w:rPr>
              <w:t>市场自主调节价格</w:t>
            </w:r>
          </w:p>
        </w:tc>
        <w:tc>
          <w:tcPr>
            <w:tcW w:w="121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jc w:val="center"/>
              <w:textAlignment w:val="center"/>
              <w:rPr>
                <w:rFonts w:hint="eastAsia" w:ascii="宋体" w:hAnsi="宋体" w:eastAsia="宋体" w:cs="宋体"/>
                <w:i w:val="0"/>
                <w:iCs w:val="0"/>
                <w:caps w:val="0"/>
                <w:color w:val="000000"/>
                <w:spacing w:val="0"/>
                <w:sz w:val="16"/>
                <w:szCs w:val="16"/>
                <w:highlight w:val="cyan"/>
                <w:u w:val="none"/>
              </w:rPr>
            </w:pPr>
            <w:r>
              <w:rPr>
                <w:rFonts w:hint="eastAsia" w:ascii="宋体" w:hAnsi="宋体" w:eastAsia="宋体" w:cs="宋体"/>
                <w:i w:val="0"/>
                <w:iCs w:val="0"/>
                <w:caps w:val="0"/>
                <w:color w:val="000000"/>
                <w:spacing w:val="0"/>
                <w:kern w:val="0"/>
                <w:sz w:val="16"/>
                <w:szCs w:val="16"/>
                <w:highlight w:val="cyan"/>
                <w:u w:val="none"/>
                <w:lang w:val="en-US" w:eastAsia="zh-CN" w:bidi="ar"/>
              </w:rPr>
              <w:t>行政相对</w:t>
            </w:r>
          </w:p>
        </w:tc>
      </w:tr>
    </w:tbl>
    <w:p>
      <w:pPr>
        <w:rPr>
          <w:vanish/>
          <w:sz w:val="24"/>
          <w:szCs w:val="24"/>
          <w:highlight w:val="cyan"/>
        </w:rPr>
      </w:pPr>
    </w:p>
    <w:tbl>
      <w:tblPr>
        <w:tblStyle w:val="2"/>
        <w:tblW w:w="134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66"/>
        <w:gridCol w:w="1281"/>
        <w:gridCol w:w="3688"/>
        <w:gridCol w:w="1281"/>
        <w:gridCol w:w="1024"/>
        <w:gridCol w:w="3427"/>
        <w:gridCol w:w="1044"/>
        <w:gridCol w:w="12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00" w:hRule="atLeast"/>
        </w:trPr>
        <w:tc>
          <w:tcPr>
            <w:tcW w:w="46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jc w:val="center"/>
              <w:textAlignment w:val="center"/>
              <w:rPr>
                <w:rFonts w:hint="eastAsia" w:ascii="楷体" w:hAnsi="楷体" w:eastAsia="楷体" w:cs="楷体"/>
                <w:i w:val="0"/>
                <w:iCs w:val="0"/>
                <w:caps w:val="0"/>
                <w:color w:val="000000"/>
                <w:spacing w:val="0"/>
                <w:sz w:val="20"/>
                <w:szCs w:val="20"/>
                <w:highlight w:val="cyan"/>
                <w:u w:val="none"/>
              </w:rPr>
            </w:pPr>
            <w:r>
              <w:rPr>
                <w:rFonts w:hint="eastAsia" w:ascii="楷体" w:hAnsi="楷体" w:eastAsia="楷体" w:cs="楷体"/>
                <w:i w:val="0"/>
                <w:iCs w:val="0"/>
                <w:caps w:val="0"/>
                <w:color w:val="000000"/>
                <w:spacing w:val="0"/>
                <w:kern w:val="0"/>
                <w:sz w:val="20"/>
                <w:szCs w:val="20"/>
                <w:highlight w:val="cyan"/>
                <w:u w:val="none"/>
                <w:lang w:val="en-US" w:eastAsia="zh-CN" w:bidi="ar"/>
              </w:rPr>
              <w:t>3</w:t>
            </w:r>
          </w:p>
        </w:tc>
        <w:tc>
          <w:tcPr>
            <w:tcW w:w="128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jc w:val="left"/>
              <w:textAlignment w:val="center"/>
              <w:rPr>
                <w:rFonts w:hint="eastAsia" w:ascii="宋体" w:hAnsi="宋体" w:eastAsia="宋体" w:cs="宋体"/>
                <w:i w:val="0"/>
                <w:iCs w:val="0"/>
                <w:caps w:val="0"/>
                <w:color w:val="000000"/>
                <w:spacing w:val="0"/>
                <w:sz w:val="16"/>
                <w:szCs w:val="16"/>
                <w:highlight w:val="cyan"/>
                <w:u w:val="none"/>
              </w:rPr>
            </w:pPr>
            <w:r>
              <w:rPr>
                <w:rFonts w:hint="eastAsia" w:ascii="宋体" w:hAnsi="宋体" w:eastAsia="宋体" w:cs="宋体"/>
                <w:i w:val="0"/>
                <w:iCs w:val="0"/>
                <w:caps w:val="0"/>
                <w:color w:val="000000"/>
                <w:spacing w:val="0"/>
                <w:kern w:val="0"/>
                <w:sz w:val="16"/>
                <w:szCs w:val="16"/>
                <w:highlight w:val="cyan"/>
                <w:u w:val="none"/>
                <w:lang w:val="en-US" w:eastAsia="zh-CN" w:bidi="ar"/>
              </w:rPr>
              <w:t>放射工作人员上岗职业健康体检</w:t>
            </w:r>
          </w:p>
        </w:tc>
        <w:tc>
          <w:tcPr>
            <w:tcW w:w="369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jc w:val="both"/>
              <w:textAlignment w:val="center"/>
              <w:rPr>
                <w:rFonts w:hint="eastAsia" w:ascii="宋体" w:hAnsi="宋体" w:eastAsia="宋体" w:cs="宋体"/>
                <w:i w:val="0"/>
                <w:iCs w:val="0"/>
                <w:caps w:val="0"/>
                <w:color w:val="000000"/>
                <w:spacing w:val="0"/>
                <w:sz w:val="16"/>
                <w:szCs w:val="16"/>
                <w:highlight w:val="cyan"/>
                <w:u w:val="none"/>
              </w:rPr>
            </w:pPr>
            <w:r>
              <w:rPr>
                <w:rFonts w:hint="eastAsia" w:ascii="宋体" w:hAnsi="宋体" w:eastAsia="宋体" w:cs="宋体"/>
                <w:i w:val="0"/>
                <w:iCs w:val="0"/>
                <w:caps w:val="0"/>
                <w:color w:val="000000"/>
                <w:spacing w:val="0"/>
                <w:kern w:val="0"/>
                <w:sz w:val="16"/>
                <w:szCs w:val="16"/>
                <w:highlight w:val="cyan"/>
                <w:u w:val="none"/>
                <w:lang w:val="en-US" w:eastAsia="zh-CN" w:bidi="ar"/>
              </w:rPr>
              <w:t>《放射工作人员职业健康管理办法》（卫生部令第55号）第十八条：放射工作人员上岗前，应当进行上岗前的职业健康检查，符合放射工作人员健康标准的，方可参加相应的放射工作。</w:t>
            </w:r>
          </w:p>
        </w:tc>
        <w:tc>
          <w:tcPr>
            <w:tcW w:w="128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jc w:val="both"/>
              <w:textAlignment w:val="center"/>
              <w:rPr>
                <w:rFonts w:hint="eastAsia" w:ascii="宋体" w:hAnsi="宋体" w:eastAsia="宋体" w:cs="宋体"/>
                <w:i w:val="0"/>
                <w:iCs w:val="0"/>
                <w:caps w:val="0"/>
                <w:color w:val="000000"/>
                <w:spacing w:val="0"/>
                <w:sz w:val="16"/>
                <w:szCs w:val="16"/>
                <w:highlight w:val="cyan"/>
                <w:u w:val="none"/>
              </w:rPr>
            </w:pPr>
            <w:r>
              <w:rPr>
                <w:rFonts w:hint="eastAsia" w:ascii="宋体" w:hAnsi="宋体" w:eastAsia="宋体" w:cs="宋体"/>
                <w:i w:val="0"/>
                <w:iCs w:val="0"/>
                <w:caps w:val="0"/>
                <w:color w:val="000000"/>
                <w:spacing w:val="0"/>
                <w:kern w:val="0"/>
                <w:sz w:val="16"/>
                <w:szCs w:val="16"/>
                <w:highlight w:val="cyan"/>
                <w:u w:val="none"/>
                <w:lang w:val="en-US" w:eastAsia="zh-CN" w:bidi="ar"/>
              </w:rPr>
              <w:t>放射源诊疗技术和医用辐射机构许可</w:t>
            </w:r>
          </w:p>
        </w:tc>
        <w:tc>
          <w:tcPr>
            <w:tcW w:w="102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jc w:val="left"/>
              <w:textAlignment w:val="center"/>
              <w:rPr>
                <w:rFonts w:hint="eastAsia" w:ascii="宋体" w:hAnsi="宋体" w:eastAsia="宋体" w:cs="宋体"/>
                <w:i w:val="0"/>
                <w:iCs w:val="0"/>
                <w:caps w:val="0"/>
                <w:color w:val="000000"/>
                <w:spacing w:val="0"/>
                <w:sz w:val="16"/>
                <w:szCs w:val="16"/>
                <w:highlight w:val="cyan"/>
                <w:u w:val="none"/>
              </w:rPr>
            </w:pPr>
            <w:r>
              <w:rPr>
                <w:rFonts w:hint="eastAsia" w:ascii="宋体" w:hAnsi="宋体" w:eastAsia="宋体" w:cs="宋体"/>
                <w:i w:val="0"/>
                <w:iCs w:val="0"/>
                <w:caps w:val="0"/>
                <w:color w:val="000000"/>
                <w:spacing w:val="0"/>
                <w:kern w:val="0"/>
                <w:sz w:val="16"/>
                <w:szCs w:val="16"/>
                <w:highlight w:val="cyan"/>
                <w:u w:val="none"/>
                <w:lang w:val="en-US" w:eastAsia="zh-CN" w:bidi="ar"/>
              </w:rPr>
              <w:t>取得《职业健康检查机构批准证书》且有“接触放射因素类”的职业健康体检机构</w:t>
            </w:r>
          </w:p>
        </w:tc>
        <w:tc>
          <w:tcPr>
            <w:tcW w:w="34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jc w:val="left"/>
              <w:textAlignment w:val="center"/>
              <w:rPr>
                <w:rFonts w:hint="eastAsia" w:ascii="宋体" w:hAnsi="宋体" w:eastAsia="宋体" w:cs="宋体"/>
                <w:i w:val="0"/>
                <w:iCs w:val="0"/>
                <w:caps w:val="0"/>
                <w:color w:val="000000"/>
                <w:spacing w:val="0"/>
                <w:sz w:val="16"/>
                <w:szCs w:val="16"/>
                <w:highlight w:val="cyan"/>
                <w:u w:val="none"/>
              </w:rPr>
            </w:pPr>
            <w:r>
              <w:rPr>
                <w:rFonts w:hint="eastAsia" w:ascii="宋体" w:hAnsi="宋体" w:eastAsia="宋体" w:cs="宋体"/>
                <w:i w:val="0"/>
                <w:iCs w:val="0"/>
                <w:caps w:val="0"/>
                <w:color w:val="000000"/>
                <w:spacing w:val="0"/>
                <w:kern w:val="0"/>
                <w:sz w:val="16"/>
                <w:szCs w:val="16"/>
                <w:highlight w:val="cyan"/>
                <w:u w:val="none"/>
                <w:lang w:val="en-US" w:eastAsia="zh-CN" w:bidi="ar"/>
              </w:rPr>
              <w:t>《职业健康检查管理办法》第十一条 按照劳动者接触的职业病危害因素，职业健康检查分为以下六类：（五）接触放射因素类；以上每类中包含不同检查项目。职业健康检查机构应当在备案的检查类别和项目范围内开展相应的职业健康检查。</w:t>
            </w:r>
          </w:p>
        </w:tc>
        <w:tc>
          <w:tcPr>
            <w:tcW w:w="104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jc w:val="left"/>
              <w:textAlignment w:val="center"/>
              <w:rPr>
                <w:rFonts w:hint="eastAsia" w:ascii="宋体" w:hAnsi="宋体" w:eastAsia="宋体" w:cs="宋体"/>
                <w:i w:val="0"/>
                <w:iCs w:val="0"/>
                <w:caps w:val="0"/>
                <w:color w:val="000000"/>
                <w:spacing w:val="0"/>
                <w:sz w:val="16"/>
                <w:szCs w:val="16"/>
                <w:highlight w:val="cyan"/>
                <w:u w:val="none"/>
              </w:rPr>
            </w:pPr>
            <w:r>
              <w:rPr>
                <w:rFonts w:hint="eastAsia" w:ascii="宋体" w:hAnsi="宋体" w:eastAsia="宋体" w:cs="宋体"/>
                <w:i w:val="0"/>
                <w:iCs w:val="0"/>
                <w:caps w:val="0"/>
                <w:color w:val="000000"/>
                <w:spacing w:val="0"/>
                <w:kern w:val="0"/>
                <w:sz w:val="16"/>
                <w:szCs w:val="16"/>
                <w:highlight w:val="cyan"/>
                <w:u w:val="none"/>
                <w:lang w:val="en-US" w:eastAsia="zh-CN" w:bidi="ar"/>
              </w:rPr>
              <w:t>政府定价。依据皖价费函〔2007〕17号、皖价费函〔2008〕18号文件。</w:t>
            </w:r>
          </w:p>
        </w:tc>
        <w:tc>
          <w:tcPr>
            <w:tcW w:w="121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jc w:val="center"/>
              <w:textAlignment w:val="center"/>
              <w:rPr>
                <w:rFonts w:hint="eastAsia" w:ascii="宋体" w:hAnsi="宋体" w:eastAsia="宋体" w:cs="宋体"/>
                <w:i w:val="0"/>
                <w:iCs w:val="0"/>
                <w:caps w:val="0"/>
                <w:color w:val="000000"/>
                <w:spacing w:val="0"/>
                <w:sz w:val="16"/>
                <w:szCs w:val="16"/>
                <w:highlight w:val="cyan"/>
                <w:u w:val="none"/>
              </w:rPr>
            </w:pPr>
            <w:r>
              <w:rPr>
                <w:rFonts w:hint="eastAsia" w:ascii="宋体" w:hAnsi="宋体" w:eastAsia="宋体" w:cs="宋体"/>
                <w:i w:val="0"/>
                <w:iCs w:val="0"/>
                <w:caps w:val="0"/>
                <w:color w:val="000000"/>
                <w:spacing w:val="0"/>
                <w:kern w:val="0"/>
                <w:sz w:val="16"/>
                <w:szCs w:val="16"/>
                <w:highlight w:val="cyan"/>
                <w:u w:val="none"/>
                <w:lang w:val="en-US" w:eastAsia="zh-CN" w:bidi="ar"/>
              </w:rPr>
              <w:t>行政相对人</w:t>
            </w:r>
          </w:p>
        </w:tc>
      </w:tr>
    </w:tbl>
    <w:p>
      <w:pPr>
        <w:rPr>
          <w:vanish/>
          <w:sz w:val="24"/>
          <w:szCs w:val="24"/>
          <w:highlight w:val="cyan"/>
        </w:rPr>
      </w:pPr>
    </w:p>
    <w:tbl>
      <w:tblPr>
        <w:tblStyle w:val="2"/>
        <w:tblW w:w="134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65"/>
        <w:gridCol w:w="1281"/>
        <w:gridCol w:w="3689"/>
        <w:gridCol w:w="1281"/>
        <w:gridCol w:w="1024"/>
        <w:gridCol w:w="3427"/>
        <w:gridCol w:w="1044"/>
        <w:gridCol w:w="12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00" w:hRule="atLeast"/>
        </w:trPr>
        <w:tc>
          <w:tcPr>
            <w:tcW w:w="46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jc w:val="center"/>
              <w:textAlignment w:val="center"/>
              <w:rPr>
                <w:rFonts w:hint="eastAsia" w:ascii="楷体" w:hAnsi="楷体" w:eastAsia="楷体" w:cs="楷体"/>
                <w:i w:val="0"/>
                <w:iCs w:val="0"/>
                <w:caps w:val="0"/>
                <w:color w:val="000000"/>
                <w:spacing w:val="0"/>
                <w:sz w:val="20"/>
                <w:szCs w:val="20"/>
                <w:highlight w:val="cyan"/>
                <w:u w:val="none"/>
              </w:rPr>
            </w:pPr>
            <w:r>
              <w:rPr>
                <w:rFonts w:hint="eastAsia" w:ascii="楷体" w:hAnsi="楷体" w:eastAsia="楷体" w:cs="楷体"/>
                <w:i w:val="0"/>
                <w:iCs w:val="0"/>
                <w:caps w:val="0"/>
                <w:color w:val="000000"/>
                <w:spacing w:val="0"/>
                <w:kern w:val="0"/>
                <w:sz w:val="20"/>
                <w:szCs w:val="20"/>
                <w:highlight w:val="cyan"/>
                <w:u w:val="none"/>
                <w:lang w:val="en-US" w:eastAsia="zh-CN" w:bidi="ar"/>
              </w:rPr>
              <w:t>4</w:t>
            </w:r>
          </w:p>
        </w:tc>
        <w:tc>
          <w:tcPr>
            <w:tcW w:w="128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jc w:val="left"/>
              <w:textAlignment w:val="center"/>
              <w:rPr>
                <w:rFonts w:hint="eastAsia" w:ascii="宋体" w:hAnsi="宋体" w:eastAsia="宋体" w:cs="宋体"/>
                <w:i w:val="0"/>
                <w:iCs w:val="0"/>
                <w:caps w:val="0"/>
                <w:color w:val="000000"/>
                <w:spacing w:val="0"/>
                <w:sz w:val="16"/>
                <w:szCs w:val="16"/>
                <w:highlight w:val="cyan"/>
                <w:u w:val="none"/>
              </w:rPr>
            </w:pPr>
            <w:r>
              <w:rPr>
                <w:rFonts w:hint="eastAsia" w:ascii="宋体" w:hAnsi="宋体" w:eastAsia="宋体" w:cs="宋体"/>
                <w:i w:val="0"/>
                <w:iCs w:val="0"/>
                <w:caps w:val="0"/>
                <w:color w:val="000000"/>
                <w:spacing w:val="0"/>
                <w:kern w:val="0"/>
                <w:sz w:val="16"/>
                <w:szCs w:val="16"/>
                <w:highlight w:val="cyan"/>
                <w:u w:val="none"/>
                <w:lang w:val="en-US" w:eastAsia="zh-CN" w:bidi="ar"/>
              </w:rPr>
              <w:t>医疗机构资产评估报告编制</w:t>
            </w:r>
          </w:p>
        </w:tc>
        <w:tc>
          <w:tcPr>
            <w:tcW w:w="369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jc w:val="left"/>
              <w:textAlignment w:val="center"/>
              <w:rPr>
                <w:rFonts w:hint="eastAsia" w:ascii="宋体" w:hAnsi="宋体" w:eastAsia="宋体" w:cs="宋体"/>
                <w:i w:val="0"/>
                <w:iCs w:val="0"/>
                <w:caps w:val="0"/>
                <w:color w:val="000000"/>
                <w:spacing w:val="0"/>
                <w:sz w:val="16"/>
                <w:szCs w:val="16"/>
                <w:highlight w:val="cyan"/>
                <w:u w:val="none"/>
              </w:rPr>
            </w:pPr>
            <w:r>
              <w:rPr>
                <w:rFonts w:hint="eastAsia" w:ascii="宋体" w:hAnsi="宋体" w:eastAsia="宋体" w:cs="宋体"/>
                <w:i w:val="0"/>
                <w:iCs w:val="0"/>
                <w:caps w:val="0"/>
                <w:color w:val="000000"/>
                <w:spacing w:val="0"/>
                <w:kern w:val="0"/>
                <w:sz w:val="16"/>
                <w:szCs w:val="16"/>
                <w:highlight w:val="cyan"/>
                <w:u w:val="none"/>
                <w:lang w:val="en-US" w:eastAsia="zh-CN" w:bidi="ar"/>
              </w:rPr>
              <w:t>《医疗机构管理条例实施细则》（卫生部令第35号）第二十五条：申请医疗机构执业登记必须填写《医疗机构申请执业登记注册书》，并向登记机关提交下列材料：(四) 验资证明、资产评估报告。</w:t>
            </w:r>
            <w:r>
              <w:rPr>
                <w:rFonts w:hint="eastAsia" w:ascii="宋体" w:hAnsi="宋体" w:eastAsia="宋体" w:cs="宋体"/>
                <w:i w:val="0"/>
                <w:iCs w:val="0"/>
                <w:caps w:val="0"/>
                <w:color w:val="000000"/>
                <w:spacing w:val="0"/>
                <w:kern w:val="0"/>
                <w:sz w:val="16"/>
                <w:szCs w:val="16"/>
                <w:highlight w:val="cyan"/>
                <w:u w:val="none"/>
                <w:lang w:val="en-US" w:eastAsia="zh-CN" w:bidi="ar"/>
              </w:rPr>
              <w:br w:type="textWrapping"/>
            </w:r>
            <w:r>
              <w:rPr>
                <w:rFonts w:hint="eastAsia" w:ascii="宋体" w:hAnsi="宋体" w:eastAsia="宋体" w:cs="宋体"/>
                <w:i w:val="0"/>
                <w:iCs w:val="0"/>
                <w:caps w:val="0"/>
                <w:color w:val="000000"/>
                <w:spacing w:val="0"/>
                <w:kern w:val="0"/>
                <w:sz w:val="16"/>
                <w:szCs w:val="16"/>
                <w:highlight w:val="cyan"/>
                <w:u w:val="none"/>
                <w:lang w:val="en-US" w:eastAsia="zh-CN" w:bidi="ar"/>
              </w:rPr>
              <w:t>注：审批工作中只要求申请人提供医疗机构资产评估报告。</w:t>
            </w:r>
          </w:p>
        </w:tc>
        <w:tc>
          <w:tcPr>
            <w:tcW w:w="128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jc w:val="both"/>
              <w:textAlignment w:val="center"/>
              <w:rPr>
                <w:rFonts w:hint="eastAsia" w:ascii="宋体" w:hAnsi="宋体" w:eastAsia="宋体" w:cs="宋体"/>
                <w:i w:val="0"/>
                <w:iCs w:val="0"/>
                <w:caps w:val="0"/>
                <w:color w:val="000000"/>
                <w:spacing w:val="0"/>
                <w:sz w:val="16"/>
                <w:szCs w:val="16"/>
                <w:highlight w:val="cyan"/>
                <w:u w:val="none"/>
              </w:rPr>
            </w:pPr>
            <w:r>
              <w:rPr>
                <w:rFonts w:hint="eastAsia" w:ascii="宋体" w:hAnsi="宋体" w:eastAsia="宋体" w:cs="宋体"/>
                <w:i w:val="0"/>
                <w:iCs w:val="0"/>
                <w:caps w:val="0"/>
                <w:color w:val="000000"/>
                <w:spacing w:val="0"/>
                <w:kern w:val="0"/>
                <w:sz w:val="16"/>
                <w:szCs w:val="16"/>
                <w:highlight w:val="cyan"/>
                <w:u w:val="none"/>
                <w:lang w:val="en-US" w:eastAsia="zh-CN" w:bidi="ar"/>
              </w:rPr>
              <w:t>医疗机构执业登记</w:t>
            </w:r>
          </w:p>
        </w:tc>
        <w:tc>
          <w:tcPr>
            <w:tcW w:w="102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jc w:val="left"/>
              <w:textAlignment w:val="center"/>
              <w:rPr>
                <w:rFonts w:hint="eastAsia" w:ascii="宋体" w:hAnsi="宋体" w:eastAsia="宋体" w:cs="宋体"/>
                <w:i w:val="0"/>
                <w:iCs w:val="0"/>
                <w:caps w:val="0"/>
                <w:color w:val="000000"/>
                <w:spacing w:val="0"/>
                <w:sz w:val="16"/>
                <w:szCs w:val="16"/>
                <w:highlight w:val="cyan"/>
                <w:u w:val="none"/>
              </w:rPr>
            </w:pPr>
            <w:r>
              <w:rPr>
                <w:rFonts w:hint="eastAsia" w:ascii="宋体" w:hAnsi="宋体" w:eastAsia="宋体" w:cs="宋体"/>
                <w:i w:val="0"/>
                <w:iCs w:val="0"/>
                <w:caps w:val="0"/>
                <w:color w:val="000000"/>
                <w:spacing w:val="0"/>
                <w:kern w:val="0"/>
                <w:sz w:val="16"/>
                <w:szCs w:val="16"/>
                <w:highlight w:val="cyan"/>
                <w:u w:val="none"/>
                <w:lang w:val="en-US" w:eastAsia="zh-CN" w:bidi="ar"/>
              </w:rPr>
              <w:t>符合法定资格条件的资产评估机构</w:t>
            </w:r>
          </w:p>
        </w:tc>
        <w:tc>
          <w:tcPr>
            <w:tcW w:w="34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jc w:val="left"/>
              <w:textAlignment w:val="center"/>
              <w:rPr>
                <w:rFonts w:hint="eastAsia" w:ascii="宋体" w:hAnsi="宋体" w:eastAsia="宋体" w:cs="宋体"/>
                <w:i w:val="0"/>
                <w:iCs w:val="0"/>
                <w:caps w:val="0"/>
                <w:color w:val="000000"/>
                <w:spacing w:val="0"/>
                <w:sz w:val="16"/>
                <w:szCs w:val="16"/>
                <w:highlight w:val="cyan"/>
                <w:u w:val="none"/>
              </w:rPr>
            </w:pPr>
            <w:r>
              <w:rPr>
                <w:rFonts w:hint="eastAsia" w:ascii="宋体" w:hAnsi="宋体" w:eastAsia="宋体" w:cs="宋体"/>
                <w:i w:val="0"/>
                <w:iCs w:val="0"/>
                <w:caps w:val="0"/>
                <w:color w:val="000000"/>
                <w:spacing w:val="0"/>
                <w:kern w:val="0"/>
                <w:sz w:val="16"/>
                <w:szCs w:val="16"/>
                <w:highlight w:val="cyan"/>
                <w:u w:val="none"/>
                <w:lang w:val="en-US" w:eastAsia="zh-CN" w:bidi="ar"/>
              </w:rPr>
              <w:t>《资产评估行业财政监督管理办法 》第二条 资产评估机构及其资产评估专业人员根据委托对单项资产、资产组合、企业价值、金融权益、资产损失或者其他经济权益进行评定、估算，并出具资产评估报告的专业服务行为和财政部门对资产评估行业实施监督管理，适用本办法。</w:t>
            </w:r>
          </w:p>
        </w:tc>
        <w:tc>
          <w:tcPr>
            <w:tcW w:w="104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jc w:val="left"/>
              <w:textAlignment w:val="center"/>
              <w:rPr>
                <w:rFonts w:hint="eastAsia" w:ascii="宋体" w:hAnsi="宋体" w:eastAsia="宋体" w:cs="宋体"/>
                <w:i w:val="0"/>
                <w:iCs w:val="0"/>
                <w:caps w:val="0"/>
                <w:color w:val="000000"/>
                <w:spacing w:val="0"/>
                <w:sz w:val="16"/>
                <w:szCs w:val="16"/>
                <w:highlight w:val="cyan"/>
                <w:u w:val="none"/>
              </w:rPr>
            </w:pPr>
            <w:r>
              <w:rPr>
                <w:rFonts w:hint="eastAsia" w:ascii="宋体" w:hAnsi="宋体" w:eastAsia="宋体" w:cs="宋体"/>
                <w:i w:val="0"/>
                <w:iCs w:val="0"/>
                <w:caps w:val="0"/>
                <w:color w:val="000000"/>
                <w:spacing w:val="0"/>
                <w:kern w:val="0"/>
                <w:sz w:val="16"/>
                <w:szCs w:val="16"/>
                <w:highlight w:val="cyan"/>
                <w:u w:val="none"/>
                <w:lang w:val="en-US" w:eastAsia="zh-CN" w:bidi="ar"/>
              </w:rPr>
              <w:t>政府定价。依据《关于发布资产评估收费管理办法的通知》（皖价服〔2010〕151号）。</w:t>
            </w:r>
          </w:p>
        </w:tc>
        <w:tc>
          <w:tcPr>
            <w:tcW w:w="121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jc w:val="center"/>
              <w:textAlignment w:val="center"/>
              <w:rPr>
                <w:rFonts w:hint="eastAsia" w:ascii="宋体" w:hAnsi="宋体" w:eastAsia="宋体" w:cs="宋体"/>
                <w:i w:val="0"/>
                <w:iCs w:val="0"/>
                <w:caps w:val="0"/>
                <w:color w:val="000000"/>
                <w:spacing w:val="0"/>
                <w:sz w:val="16"/>
                <w:szCs w:val="16"/>
                <w:highlight w:val="cyan"/>
                <w:u w:val="none"/>
              </w:rPr>
            </w:pPr>
            <w:r>
              <w:rPr>
                <w:rFonts w:hint="eastAsia" w:ascii="宋体" w:hAnsi="宋体" w:eastAsia="宋体" w:cs="宋体"/>
                <w:i w:val="0"/>
                <w:iCs w:val="0"/>
                <w:caps w:val="0"/>
                <w:color w:val="000000"/>
                <w:spacing w:val="0"/>
                <w:kern w:val="0"/>
                <w:sz w:val="16"/>
                <w:szCs w:val="16"/>
                <w:highlight w:val="cyan"/>
                <w:u w:val="none"/>
                <w:lang w:val="en-US" w:eastAsia="zh-CN" w:bidi="ar"/>
              </w:rPr>
              <w:t>行政相对人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000" w:hRule="atLeast"/>
        </w:trPr>
        <w:tc>
          <w:tcPr>
            <w:tcW w:w="46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jc w:val="center"/>
              <w:textAlignment w:val="center"/>
              <w:rPr>
                <w:rFonts w:hint="eastAsia" w:ascii="楷体" w:hAnsi="楷体" w:eastAsia="楷体" w:cs="楷体"/>
                <w:i w:val="0"/>
                <w:iCs w:val="0"/>
                <w:caps w:val="0"/>
                <w:color w:val="000000"/>
                <w:spacing w:val="0"/>
                <w:sz w:val="20"/>
                <w:szCs w:val="20"/>
                <w:u w:val="none"/>
              </w:rPr>
            </w:pPr>
            <w:r>
              <w:rPr>
                <w:rFonts w:hint="eastAsia" w:ascii="楷体" w:hAnsi="楷体" w:eastAsia="楷体" w:cs="楷体"/>
                <w:i w:val="0"/>
                <w:iCs w:val="0"/>
                <w:caps w:val="0"/>
                <w:color w:val="000000"/>
                <w:spacing w:val="0"/>
                <w:kern w:val="0"/>
                <w:sz w:val="20"/>
                <w:szCs w:val="20"/>
                <w:u w:val="none"/>
                <w:lang w:val="en-US" w:eastAsia="zh-CN" w:bidi="ar"/>
              </w:rPr>
              <w:t>5</w:t>
            </w:r>
          </w:p>
        </w:tc>
        <w:tc>
          <w:tcPr>
            <w:tcW w:w="128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lang w:val="en-US" w:eastAsia="zh-CN" w:bidi="ar"/>
              </w:rPr>
              <w:t>对饮用水、涉及饮用水安全产品、消毒产品、血液制品等卫生健康综合执法监督抽检进行检测</w:t>
            </w:r>
          </w:p>
        </w:tc>
        <w:tc>
          <w:tcPr>
            <w:tcW w:w="369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lang w:val="en-US" w:eastAsia="zh-CN" w:bidi="ar"/>
              </w:rPr>
              <w:t>《卫生行政处罚程序》（卫生部令第53号）第二十三条：卫生执法人员调查违法事实，需要采集鉴定检验样品的，应当填写采样记录。所采集的样品应标明编号并及时进行鉴定检验。</w:t>
            </w:r>
          </w:p>
        </w:tc>
        <w:tc>
          <w:tcPr>
            <w:tcW w:w="128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lang w:val="en-US" w:eastAsia="zh-CN" w:bidi="ar"/>
              </w:rPr>
              <w:t>卫生健康部门涉及卫生健康综合执法的行政权力事项</w:t>
            </w:r>
          </w:p>
        </w:tc>
        <w:tc>
          <w:tcPr>
            <w:tcW w:w="102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lang w:val="en-US" w:eastAsia="zh-CN" w:bidi="ar"/>
              </w:rPr>
              <w:t>具有相应卫生检验能力并且取得资质认定的卫生检验检测机构</w:t>
            </w:r>
          </w:p>
        </w:tc>
        <w:tc>
          <w:tcPr>
            <w:tcW w:w="34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lang w:val="en-US" w:eastAsia="zh-CN" w:bidi="ar"/>
              </w:rPr>
              <w:t>《检验检测机构资质认定管理办法》（国家质检总局令第163号）第二条：本办法所称资质认定，是指省级以上质量技术监督部门依据有关法律法规和标准、技术规范的规定，对检验检测机构的基本条件和技术能力是否符合法定要求实施的评价许可。资质认定包括检验检测机构计量认证。</w:t>
            </w:r>
          </w:p>
        </w:tc>
        <w:tc>
          <w:tcPr>
            <w:tcW w:w="104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lang w:val="en-US" w:eastAsia="zh-CN" w:bidi="ar"/>
              </w:rPr>
              <w:t>市场自主调节价格</w:t>
            </w:r>
          </w:p>
        </w:tc>
        <w:tc>
          <w:tcPr>
            <w:tcW w:w="121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lang w:val="en-US" w:eastAsia="zh-CN" w:bidi="ar"/>
              </w:rPr>
              <w:t>行政机关</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hMTA2ZDIwNGEwNjY5NTJmMDBmYjMxNzg2YTVjYTMifQ=="/>
  </w:docVars>
  <w:rsids>
    <w:rsidRoot w:val="00000000"/>
    <w:rsid w:val="067347C9"/>
    <w:rsid w:val="1A4F11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2024-03-20T08:26:00Z</dcterms:created>
  <dc:creator>Lenovo</dc:creator>
  <cp:lastModifiedBy>。</cp:lastModifiedBy>
  <dcterms:modified xsi:type="dcterms:W3CDTF">2024-03-20T08:31:24Z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32AB1ED57C2745438FC21683D64CADFC_12</vt:lpwstr>
  </property>
</Properties>
</file>