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5"/>
        <w:gridCol w:w="1770"/>
        <w:gridCol w:w="750"/>
        <w:gridCol w:w="4530"/>
        <w:gridCol w:w="660"/>
        <w:gridCol w:w="4800"/>
        <w:gridCol w:w="136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7"/>
          <w:wAfter w:w="14955" w:type="dxa"/>
          <w:trHeight w:val="810" w:hRule="atLeast"/>
        </w:trPr>
        <w:tc>
          <w:tcPr>
            <w:tcW w:w="0" w:type="auto"/>
            <w:shd w:val="clear" w:color="auto" w:fill="auto"/>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4550" w:type="dxa"/>
            <w:gridSpan w:val="7"/>
            <w:tcBorders>
              <w:top w:val="nil"/>
              <w:left w:val="nil"/>
              <w:bottom w:val="nil"/>
              <w:right w:val="nil"/>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b/>
                <w:bCs/>
                <w:i w:val="0"/>
                <w:iCs w:val="0"/>
                <w:caps w:val="0"/>
                <w:color w:val="000000"/>
                <w:spacing w:val="0"/>
                <w:sz w:val="44"/>
                <w:szCs w:val="44"/>
                <w:u w:val="none"/>
              </w:rPr>
            </w:pPr>
            <w:r>
              <w:rPr>
                <w:rFonts w:hint="eastAsia" w:ascii="宋体" w:hAnsi="宋体" w:eastAsia="宋体" w:cs="宋体"/>
                <w:b/>
                <w:bCs/>
                <w:i w:val="0"/>
                <w:iCs w:val="0"/>
                <w:caps w:val="0"/>
                <w:color w:val="000000"/>
                <w:spacing w:val="0"/>
                <w:kern w:val="0"/>
                <w:sz w:val="44"/>
                <w:szCs w:val="44"/>
                <w:u w:val="none"/>
                <w:lang w:val="en-US" w:eastAsia="zh-CN" w:bidi="ar"/>
              </w:rPr>
              <w:t>淮南市大通区应急管理局行政权力事项廉政风险点一览表</w:t>
            </w:r>
          </w:p>
        </w:tc>
        <w:tc>
          <w:tcPr>
            <w:tcW w:w="1080" w:type="dxa"/>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序号</w:t>
            </w:r>
          </w:p>
        </w:tc>
        <w:tc>
          <w:tcPr>
            <w:tcW w:w="17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权力事项</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风险点数量</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表现形式</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等级</w:t>
            </w:r>
          </w:p>
        </w:tc>
        <w:tc>
          <w:tcPr>
            <w:tcW w:w="4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防控措施</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2"/>
                <w:szCs w:val="22"/>
                <w:u w:val="none"/>
              </w:rPr>
            </w:pPr>
            <w:r>
              <w:rPr>
                <w:rFonts w:hint="eastAsia" w:ascii="黑体" w:hAnsi="宋体" w:eastAsia="黑体" w:cs="黑体"/>
                <w:i w:val="0"/>
                <w:iCs w:val="0"/>
                <w:caps w:val="0"/>
                <w:color w:val="000000"/>
                <w:spacing w:val="0"/>
                <w:kern w:val="0"/>
                <w:sz w:val="22"/>
                <w:szCs w:val="22"/>
                <w:u w:val="none"/>
                <w:lang w:val="en-US" w:eastAsia="zh-CN" w:bidi="ar"/>
              </w:rPr>
              <w:t>责任人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危险化学品安全经营许可</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5</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受理环节对符合条件的不予受理，不说明原因及依据；收受财物或娱乐消费等，对不符合条件的予以受理；不能一次性告知和说明所需材料。</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2.严格按照国务院《危险化学品安全管理条例》规定的条件和程序管理。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left"/>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承办环节刁难申请人，违规办理，徇私谋利，可能产生应予批准而未通过或不符合条件批准通过的后果。</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left"/>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审查环节违规审查，徇私谋利，审查超时。</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left"/>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决定环节违背民主集中制原则，违法违规决定； 超时决定。</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left"/>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办结送达环节擅自改动内容，制作文书不规范，不及时办结，不及时送达。</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烟花爆竹经营（零售）许可</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5</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受理环节对符合条件的不予受理，不说明原因及依据；收受财物或娱乐消费等，对不符合条件的予以受理；不能一次性告知和说明所需材料。</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2.严格按照国务院第 455 号令 《烟花爆竹安全管理条例》和国家安全监管总局65号令《烟花爆竹经营许可实施办法》规定的条件和程序办理。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承办环节刁难申请人，违规办理，徇私谋利，可能产生应予批准而未通过或不符合条件批准通过的后果。</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审查环节违规审查，徇私谋利，审查超时。</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决定环节违背民主集中制原则，违法违规决定； 超时决定。</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办结送达环节擅自改动内容，制作文书不规范，不及时办结，不及时送达。</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第三类非药品类易制毒化学品经营备案</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受理风险：应当受理的不受理，超时受理。</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2.建立健全管理制度，强化责任意识，提高工作制度化、规范化水平。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3.强化责任追究，对统计工作中故意造假的严肃追究相关责任。</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审查风险：不按照规定进行审查。</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实施风险：对应当备案的不予备案，对已经备案的没有按照规定实施监督检查。</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生产安全事故应急预案备案</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受理风险：应当受理的不受理，超时受理。</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2.建立健全管理制度，强化责任意识，提高工作制度化、规范化水平。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3.强化责任追究，对统计工作中故意造假的严肃追究相关责任。</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审查风险：不按照规定进行审查。</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实施风险：对应当备案的不予备案，对已经备案的没有按照规定实施监督检查。</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0"/>
                <w:szCs w:val="20"/>
                <w:u w:val="none"/>
              </w:rPr>
            </w:pPr>
            <w:r>
              <w:rPr>
                <w:rFonts w:hint="eastAsia" w:ascii="黑体" w:hAnsi="宋体" w:eastAsia="黑体" w:cs="黑体"/>
                <w:i w:val="0"/>
                <w:iCs w:val="0"/>
                <w:caps w:val="0"/>
                <w:color w:val="000000"/>
                <w:spacing w:val="0"/>
                <w:kern w:val="0"/>
                <w:sz w:val="20"/>
                <w:szCs w:val="20"/>
                <w:u w:val="none"/>
                <w:lang w:val="en-US" w:eastAsia="zh-CN" w:bidi="ar"/>
              </w:rPr>
              <w:t>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对《建设项目安全设施“三同时”监督管理暂行办法》第七条规定的建设项目未进行安全生产条件论证和安全预评价；第七条规定以外的建设项目未进行安全生产条件和设施综合分析，形成书面报告，并报安全生产监督管理部门备案违法行为的处罚</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w:t>
            </w:r>
            <w:bookmarkStart w:id="0" w:name="_GoBack"/>
            <w:bookmarkEnd w:id="0"/>
            <w:r>
              <w:rPr>
                <w:rFonts w:hint="eastAsia" w:ascii="宋体" w:hAnsi="宋体" w:eastAsia="宋体" w:cs="宋体"/>
                <w:i w:val="0"/>
                <w:iCs w:val="0"/>
                <w:caps w:val="0"/>
                <w:color w:val="000000"/>
                <w:spacing w:val="0"/>
                <w:kern w:val="0"/>
                <w:sz w:val="20"/>
                <w:szCs w:val="20"/>
                <w:u w:val="none"/>
                <w:lang w:val="en-US" w:eastAsia="zh-CN" w:bidi="ar"/>
              </w:rPr>
              <w:t xml:space="preserve">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非煤矿矿山建设项目、生产、储存危险化学品（包括使用长输管道输送危险化学品）的建设项目、生产、储存烟花爆竹的建设项目没有安全设施设计建设项目竣工投入生产或者使用前，安全设施未经验收合格的责令限期改正逾期未改正的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已经批准的建设项目安全设施设计发生重大变更，生产经营单位未报原批准部门审查建议擅自开工建设的处罚</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default" w:ascii="宋体" w:hAnsi="宋体" w:eastAsia="宋体" w:cs="宋体"/>
                <w:i w:val="0"/>
                <w:iCs w:val="0"/>
                <w:caps w:val="0"/>
                <w:color w:val="000000"/>
                <w:spacing w:val="0"/>
                <w:sz w:val="20"/>
                <w:szCs w:val="20"/>
                <w:u w:val="none"/>
                <w:lang w:val="en-US"/>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《建设项目安全设施“三同时”监督管理暂行办法》第七条规定以外的建设项目没有安全设施设计等违法行为的处罚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企业伪造、变造或者出租、出借、转让安全生产许可证，或者使用伪造、变造的安全生产许可证的处罚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生产经营单位的决策机构、主要负责人、个人经营的投资人不依照本法规定保证安全生产所必需的资金投入，致使生产经营单位不具备安全生产条件的处罚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生产经营单位的主要负责人未履行《安全生产法》规定的安全生产管理职责的处罚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未按照规定设立安全生产管理机构或者配备安全生产管理人员，主要负责人和安全管理人员未按规定考核合格，未按规定对从业人员进行教育培训未将隐患向从业人员通报，特种作业人员未按规定培训并取得相应资格上岗作业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未按照规定对矿山等建设项目进行安全评价的，矿山等建设项目没有安全设施设计或者安全设施设计未按照规定报经有关部门审查同意的，矿山等建设项目的施工单位未按照批准的安全设施设计施工的，矿山等建设项目竣工投入生产或者使用前安全设施未经验收合格的，违反设施设备安全管理规定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两个以上生产经营单位在同一作业区域内进行可能危及对方安全生产的生产经营活动，未签订安全生产管理协议等违法行为的处罚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生产经营单位与从业人员订立协议，免除或者减轻其对从业人员因生产安全事故伤亡依法应承担的责任的处罚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生产经营单位不具备法律、行政法规和国家标准、行业标准规定的安全生产条件，经责令停产停业整顿仍不具备安全生产条件的处罚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及其主要负责人或者其他主管人员违反操作规程或者安全管理规定作业，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1.加强廉洁教育和法规学习2.不定期走访调查对象，查证有无办人情案的情况3.加强廉政教育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知道或者应当知道生产经营单位未取得安全生产许可证或者其他批准文件擅自从事生产经营活动，仍为其提供生产经营场所、运输、保管、仓储等条件的处罚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19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生产经营单位及其有关人员弄虚作假，骗取或者勾结、串通行政审批工作人员取得安全生产许可证书及其他批准文件的处罚。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1.不定期走访调查对象，查证有无办人情案的情况2.法规科加大案件审查力度3.形成办案、执行分开制度，4.限时办结制5.重大事项集体研究决策制度6梳理权责清单，划清各科室职责</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取得安全生产许可证的非煤矿矿山企业不再具备《非煤矿矿山企业安全生产许可证实施办法》第六条规定的安全生产条件之一的处罚。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地质勘探单位、采掘施工单位在登记注册地以外进行跨省作业，以及跨省（自治区、直辖市）运营的石油天然气管道管理的单位，未按规定登记备案的处罚。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非煤矿山企业安全生产许可证有效期满未办理延期手续，继续进行生产的处罚。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地质勘探单位未按照本规定建立有关安全生产制度和规程等行为的处罚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地质勘探单位未按照规定向工作区域所在地县级安全生产监督管理部门备案的处罚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生产经营单位未按国家有关规定为从业人员提供符合国家标准或者行业标准的劳动防护用品的处罚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生产经营单位未将安全培训工作纳入本单位工作计划并保证安全培训工作所需资金等行为的处罚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生产经营单位编造安全培训记录、档案或者骗取安全资格证书的处罚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生产经营单位未建立健全特种作业人员档案等违法行为的处罚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生产经营单位从业人员安全培训的时间少于《生产经营单位安全培训规定》或者有关标准规定等违法行为的处罚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冶金企业安全预评价报告、安全专篇、安全验收评价报告未按照规定备案等违法行为的处罚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工贸企业未在有限空间作业场所设置明显的安全警示标志等违法行为的处罚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未按照规定制定事故隐患治理方案等违法行为的处罚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未对职工进行安全教育、培训，分配职工上岗作业等行为的处罚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重大事故隐患排除前或排除过程中无法保证安全的处理</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查封或扣押设施、设备、器材</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通知有关单位停止供电、停止供应民用爆炸物品等措施，强制生产经营单位履行决定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1.不定期走访调查对象，查证有无办人情案的情况，2.法规科加大案件审查力度，3.形成办案、执行分开制度，4.限时办结制，5.重大事项集体研究决策制度，6.加强廉政教育</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建设项目安全条件论证、安全设施设计、安全设施竣工报告备案</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审查风险：不按照规定进行审查。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实施风险：对应当备案的不予备案，对已经备案的没有按照规定实施监督检查。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38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非煤矿山企业建设工程项目备案</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审查风险：不按照规定进行审查。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实施风险：对应当备案的不予备案，对已经备案的没有按照规定实施监督检查。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39</w:t>
            </w:r>
          </w:p>
        </w:tc>
        <w:tc>
          <w:tcPr>
            <w:tcW w:w="17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行政执法检查</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借执法之机，向监管企业索要财物，或参与、接受宴请，或提出其他影响公平执法的要求。</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不定期走访调查对象，查证有无办人情案的情况</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0"/>
                <w:szCs w:val="20"/>
                <w:u w:val="none"/>
              </w:rPr>
            </w:pPr>
            <w:r>
              <w:rPr>
                <w:rFonts w:hint="eastAsia" w:ascii="黑体" w:hAnsi="宋体" w:eastAsia="黑体" w:cs="黑体"/>
                <w:i w:val="0"/>
                <w:iCs w:val="0"/>
                <w:caps w:val="0"/>
                <w:color w:val="000000"/>
                <w:spacing w:val="0"/>
                <w:kern w:val="0"/>
                <w:sz w:val="20"/>
                <w:szCs w:val="20"/>
                <w:u w:val="none"/>
                <w:lang w:val="en-US" w:eastAsia="zh-CN" w:bidi="ar"/>
              </w:rPr>
              <w:t>40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危险化学品经营许可</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审查环节违规审查，徇私谋利，审查超时。</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0"/>
                <w:szCs w:val="20"/>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决定环节违背民主集中制原则，违法违规决定； 超时决定。</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对安全评价、认证、检测、检验机构及人员违反规定的行政处罚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left"/>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对生产经营单位主要负责人等未履行安全生产管理职责的行政处罚</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对生产经营单位未按照规定设置安全生产管理机构或者配备安全生产管理人员等的行政处罚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对生产经营单位未采取措施消除事故隐患的行政处罚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对生产经营单位违法发包或者出租的行政处罚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对两个以上生产经营单位未签订安全生产管理协议等的行政处罚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对生产经营单位与从业人员订立协议无效的行政处罚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对生产经营单位拒绝、阻碍监督检查的行政处罚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49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对生产安全事故负有责任的生产经营单位的行政处罚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对生产经营单位违反安全生产许可的行政处罚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对危险物品的生产、经营、储存单位以及矿山企业、建筑施工单位未建立应急救援组织等的行政处罚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对不符合安全培训规定的行政处罚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对生产经营单位或人员违反特种作业人员安全技术培训考核管理规定的行政处罚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对违反安全生产事故隐患排查治理暂行规定的行政处罚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keepNext w:val="0"/>
              <w:keepLines w:val="0"/>
              <w:widowControl/>
              <w:suppressLineNumbers w:val="0"/>
              <w:spacing w:before="0" w:beforeAutospacing="0" w:after="0" w:afterAutospacing="0" w:line="330" w:lineRule="atLeast"/>
              <w:ind w:left="0" w:right="0" w:firstLine="0"/>
              <w:jc w:val="both"/>
              <w:textAlignment w:val="bottom"/>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对安全培训机构、生产经营单位主要负责人及从业人员等违反培训管理规定的行政处罚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对有关机构和人员违反安全生产检测检验机构管理规定的行政处罚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对违反烟花爆竹经营有关规定的行政处罚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对生产、经营、使用禁止的危险化学品的行政处罚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59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对建设项目未经安全条件审查的行政处罚。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对违法从事危险化学品生产、使用、经营的行政处罚。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对违反危险化学品管道规定等的行政处罚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对重复使用的危险化学品包装物、容器未进行检查等的行政处罚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对违反生产储存使用剧毒化学品、易制爆危险化学品相关规定的行政处罚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对危险化学品单位转产停产停业或者解散违反规定的行政处罚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对违规销售剧毒化学品、易制爆危险化学品的行政处罚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对单位违反非药品类易制毒化学品规定的行政处罚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对单位违反易制毒化学品管理规定的行政处罚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68</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对单位违反危险化学品重大危险源监督管理规定的行政处罚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69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对建设单位违反危险化学品建设项目安全监管的行政处罚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70</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对企业违反危险化学品登记管理规定的行政处罚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71</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对单位违反化学品物理危险性鉴定与分类管理规定的行政处罚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72</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对生产经营单位应急预案未备案的行政处罚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73</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对生产经营单位未按规定编制应急预案和演练的行政处罚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  3、随意行使自由裁量权；  4、法律法规运用错误；  5、该集体讨论决定不上会，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74</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对违反烟花爆竹经营许可相关规定的行政处罚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75</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对违反危险化学品安全使用许可相关规定的行政处罚</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审查环节：不按照规定组织专家审查，对不符合条件的放宽条件。</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决定环节：久拖不批或越权审批，利用职务便利接受贿赂为当事人谋利益。</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76</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对不具备安全生产条件从事有关活动的取缔处理</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黑体" w:hAnsi="宋体" w:eastAsia="黑体" w:cs="黑体"/>
                <w:i w:val="0"/>
                <w:iCs w:val="0"/>
                <w:caps w:val="0"/>
                <w:color w:val="000000"/>
                <w:spacing w:val="0"/>
                <w:sz w:val="24"/>
                <w:szCs w:val="24"/>
                <w:u w:val="none"/>
              </w:rPr>
            </w:pPr>
            <w:r>
              <w:rPr>
                <w:rFonts w:hint="eastAsia" w:ascii="黑体" w:hAnsi="宋体" w:eastAsia="黑体" w:cs="黑体"/>
                <w:i w:val="0"/>
                <w:iCs w:val="0"/>
                <w:caps w:val="0"/>
                <w:color w:val="000000"/>
                <w:spacing w:val="0"/>
                <w:kern w:val="0"/>
                <w:sz w:val="24"/>
                <w:szCs w:val="24"/>
                <w:u w:val="none"/>
                <w:lang w:val="en-US" w:eastAsia="zh-CN" w:bidi="ar"/>
              </w:rPr>
              <w:t>77</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对有关场所或物品采取责令暂停、封存措施</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2</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调查风险：调查取证时接受请托，办理人情案。伪造、丢失、损毁、不按规定取证，导致案件调查无法正常进行。</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20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1.加强政治理论、政策法规、党纪政纪和业务知识学习。</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2.严格按照国家安全监管总局有关法律法规规定的条件和程序办理。</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3.建立健全管理制度，强化规则意识，提高工作制度化、规范化水平。</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4.严格执行《党政领导干部选拔任用工作条例》选人用人。</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t>5.按照过错责任追究规定追究相关责任。</w:t>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r>
              <w:rPr>
                <w:rFonts w:hint="eastAsia" w:ascii="宋体" w:hAnsi="宋体" w:eastAsia="宋体" w:cs="宋体"/>
                <w:i w:val="0"/>
                <w:iCs w:val="0"/>
                <w:caps w:val="0"/>
                <w:color w:val="000000"/>
                <w:spacing w:val="0"/>
                <w:kern w:val="0"/>
                <w:sz w:val="20"/>
                <w:szCs w:val="20"/>
                <w:u w:val="none"/>
                <w:lang w:val="en-US" w:eastAsia="zh-CN" w:bidi="ar"/>
              </w:rPr>
              <w:br w:type="textWrapping"/>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1"/>
                <w:szCs w:val="21"/>
                <w:u w:val="none"/>
                <w:lang w:val="en-US" w:eastAsia="zh-CN" w:bidi="ar"/>
              </w:rPr>
              <w:t>经办人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黑体" w:hAnsi="宋体" w:eastAsia="黑体" w:cs="黑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决定风险：1.久拖不批或越权审批，无故拖延案件办理；  2、利用职务便利接受贿赂为当事人谋利益；3、该集体讨论决定不上会， 少数人说了算。</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1"/>
                <w:szCs w:val="21"/>
                <w:u w:val="none"/>
              </w:rPr>
            </w:pP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bottom"/>
          </w:tcPr>
          <w:p>
            <w:pPr>
              <w:keepNext w:val="0"/>
              <w:keepLines w:val="0"/>
              <w:widowControl/>
              <w:suppressLineNumbers w:val="0"/>
              <w:spacing w:before="0" w:beforeAutospacing="0" w:after="0" w:afterAutospacing="0" w:line="330" w:lineRule="atLeast"/>
              <w:ind w:left="0" w:right="0" w:firstLine="0"/>
              <w:jc w:val="right"/>
              <w:textAlignment w:val="bottom"/>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78</w:t>
            </w:r>
          </w:p>
        </w:tc>
        <w:tc>
          <w:tcPr>
            <w:tcW w:w="17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安全评价、认证、检测、检验机构及人员违反规定的行政处罚违法行为处罚案件调查</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调查取证时接受请托，办理人情案。伪造、丢失、损毁、不按规定取证，导致案件调查无法正常进行。</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right"/>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79</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违法行为行政处罚案件决定</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4"/>
                <w:szCs w:val="24"/>
                <w:u w:val="none"/>
              </w:rPr>
            </w:pPr>
            <w:r>
              <w:rPr>
                <w:rFonts w:hint="eastAsia" w:ascii="宋体" w:hAnsi="宋体" w:eastAsia="宋体" w:cs="宋体"/>
                <w:i w:val="0"/>
                <w:iCs w:val="0"/>
                <w:caps w:val="0"/>
                <w:color w:val="000000"/>
                <w:spacing w:val="0"/>
                <w:kern w:val="0"/>
                <w:sz w:val="24"/>
                <w:szCs w:val="24"/>
                <w:u w:val="none"/>
                <w:lang w:val="en-US" w:eastAsia="zh-CN" w:bidi="ar"/>
              </w:rPr>
              <w:t>5</w:t>
            </w: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久拖不批或越权审批，无故拖延案件办理；  </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1.不定期走访调查对象，查证有无办人情案的情况，2.法规科加大案件审查力度，3.形成办案、执行分开制度，4.限时办结制，5.重大事项集体研究决策制度</w:t>
            </w: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right"/>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利用职务便利接受贿赂为当事人谋利益；</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中</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right"/>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随意行使自由裁量权</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right"/>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法律法规运用错误</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高</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局领导、承办人</w:t>
            </w:r>
          </w:p>
        </w:tc>
        <w:tc>
          <w:tcPr>
            <w:tcW w:w="0" w:type="auto"/>
            <w:tcBorders>
              <w:top w:val="nil"/>
              <w:left w:val="nil"/>
              <w:bottom w:val="nil"/>
              <w:right w:val="nil"/>
            </w:tcBorders>
            <w:shd w:val="clear" w:color="auto" w:fill="auto"/>
            <w:noWrap/>
            <w:tcMar>
              <w:top w:w="15" w:type="dxa"/>
              <w:left w:w="15" w:type="dxa"/>
              <w:bottom w:w="75" w:type="dxa"/>
              <w:right w:w="15" w:type="dxa"/>
            </w:tcMar>
            <w:vAlign w:val="bottom"/>
          </w:tcPr>
          <w:p>
            <w:pPr>
              <w:jc w:val="both"/>
              <w:rPr>
                <w:rFonts w:hint="eastAsia" w:ascii="宋体" w:hAnsi="宋体" w:eastAsia="宋体" w:cs="宋体"/>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bottom w:w="75" w:type="dxa"/>
              <w:right w:w="15" w:type="dxa"/>
            </w:tcMar>
            <w:vAlign w:val="center"/>
          </w:tcPr>
          <w:p>
            <w:pPr>
              <w:jc w:val="right"/>
              <w:rPr>
                <w:rFonts w:hint="eastAsia" w:ascii="宋体" w:hAnsi="宋体" w:eastAsia="宋体" w:cs="宋体"/>
                <w:i w:val="0"/>
                <w:iCs w:val="0"/>
                <w:caps w:val="0"/>
                <w:color w:val="000000"/>
                <w:spacing w:val="0"/>
                <w:sz w:val="24"/>
                <w:szCs w:val="24"/>
                <w:u w:val="none"/>
              </w:rPr>
            </w:pP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4"/>
                <w:szCs w:val="24"/>
                <w:u w:val="none"/>
              </w:rPr>
            </w:pPr>
          </w:p>
        </w:tc>
        <w:tc>
          <w:tcPr>
            <w:tcW w:w="4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该集体讨论决定不上会， 少数人说了算。</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低</w:t>
            </w:r>
          </w:p>
        </w:tc>
        <w:tc>
          <w:tcPr>
            <w:tcW w:w="48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jc w:val="both"/>
              <w:rPr>
                <w:rFonts w:hint="eastAsia" w:ascii="宋体" w:hAnsi="宋体" w:eastAsia="宋体" w:cs="宋体"/>
                <w:i w:val="0"/>
                <w:iCs w:val="0"/>
                <w:caps w:val="0"/>
                <w:color w:val="000000"/>
                <w:spacing w:val="0"/>
                <w:sz w:val="20"/>
                <w:szCs w:val="20"/>
                <w:u w:val="none"/>
              </w:rPr>
            </w:pPr>
          </w:p>
        </w:tc>
        <w:tc>
          <w:tcPr>
            <w:tcW w:w="13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0"/>
                <w:szCs w:val="20"/>
                <w:u w:val="none"/>
              </w:rPr>
            </w:pPr>
            <w:r>
              <w:rPr>
                <w:rFonts w:hint="eastAsia" w:ascii="宋体" w:hAnsi="宋体" w:eastAsia="宋体" w:cs="宋体"/>
                <w:i w:val="0"/>
                <w:iCs w:val="0"/>
                <w:caps w:val="0"/>
                <w:color w:val="000000"/>
                <w:spacing w:val="0"/>
                <w:kern w:val="0"/>
                <w:sz w:val="20"/>
                <w:szCs w:val="20"/>
                <w:u w:val="none"/>
                <w:lang w:val="en-US" w:eastAsia="zh-CN" w:bidi="ar"/>
              </w:rPr>
              <w:t>局领导、承办人</w:t>
            </w:r>
          </w:p>
        </w:tc>
        <w:tc>
          <w:tcPr>
            <w:tcW w:w="0" w:type="auto"/>
            <w:shd w:val="clear" w:color="auto" w:fill="auto"/>
            <w:vAlign w:val="center"/>
          </w:tcPr>
          <w:p>
            <w:pPr>
              <w:jc w:val="both"/>
              <w:rPr>
                <w:rFonts w:hint="eastAsia" w:ascii="微软雅黑" w:hAnsi="微软雅黑" w:eastAsia="微软雅黑" w:cs="微软雅黑"/>
                <w:i w:val="0"/>
                <w:iCs w:val="0"/>
                <w:caps w:val="0"/>
                <w:color w:val="333333"/>
                <w:spacing w:val="0"/>
                <w:sz w:val="24"/>
                <w:szCs w:val="24"/>
              </w:rPr>
            </w:pPr>
          </w:p>
        </w:tc>
      </w:tr>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MWFmMzI0OTFlYjg4YmViOTZjOTdjZWE2YzdkZGIifQ=="/>
  </w:docVars>
  <w:rsids>
    <w:rsidRoot w:val="1D5C1047"/>
    <w:rsid w:val="0C770F13"/>
    <w:rsid w:val="113A0DFD"/>
    <w:rsid w:val="1D5C1047"/>
    <w:rsid w:val="2E7E52ED"/>
    <w:rsid w:val="508E5030"/>
    <w:rsid w:val="57D4431F"/>
    <w:rsid w:val="6A8A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2024-01-17T08:23:00Z</dcterms:created>
  <dc:creator>Administrator</dc:creator>
  <cp:lastModifiedBy>Administrator</cp:lastModifiedBy>
  <dcterms:modified xsi:type="dcterms:W3CDTF">2024-03-08T01:38:26Z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C49B0F8D1D304E67BC674A46D38A185D_13</vt:lpwstr>
  </property>
</Properties>
</file>